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65D01974">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1C41CAC4">
      <w:pPr>
        <w:jc w:val="center"/>
        <w:rPr>
          <w:rFonts w:ascii="宋体" w:hAnsi="宋体"/>
          <w:b/>
          <w:color w:val="000000" w:themeColor="text1"/>
          <w:kern w:val="2"/>
          <w:sz w:val="44"/>
          <w:szCs w:val="36"/>
          <w14:textFill>
            <w14:solidFill>
              <w14:schemeClr w14:val="tx1"/>
            </w14:solidFill>
          </w14:textFill>
        </w:rPr>
      </w:pPr>
      <w:r>
        <w:rPr>
          <w:rFonts w:ascii="宋体" w:hAnsi="宋体"/>
          <w:b/>
          <w:color w:val="000000" w:themeColor="text1"/>
          <w:kern w:val="2"/>
          <w:sz w:val="44"/>
          <w:szCs w:val="36"/>
          <w14:textFill>
            <w14:solidFill>
              <w14:schemeClr w14:val="tx1"/>
            </w14:solidFill>
          </w14:textFill>
        </w:rPr>
        <w:t>采购需求书</w:t>
      </w:r>
    </w:p>
    <w:p w14:paraId="25EE1013">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总则：</w:t>
      </w:r>
    </w:p>
    <w:p w14:paraId="518F38A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5BEB5FF3">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252764D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7F0E2A9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3201AF2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7"/>
        <w:gridCol w:w="1833"/>
        <w:gridCol w:w="2132"/>
      </w:tblGrid>
      <w:tr w14:paraId="0822A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7" w:type="dxa"/>
          </w:tcPr>
          <w:p w14:paraId="419637BD">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项目名称</w:t>
            </w:r>
          </w:p>
        </w:tc>
        <w:tc>
          <w:tcPr>
            <w:tcW w:w="1833" w:type="dxa"/>
          </w:tcPr>
          <w:p w14:paraId="65472A02">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需求科室/部门</w:t>
            </w:r>
          </w:p>
        </w:tc>
        <w:tc>
          <w:tcPr>
            <w:tcW w:w="2132" w:type="dxa"/>
          </w:tcPr>
          <w:p w14:paraId="2BD7BD18">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数量（套）</w:t>
            </w:r>
          </w:p>
        </w:tc>
      </w:tr>
      <w:tr w14:paraId="1051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7" w:type="dxa"/>
          </w:tcPr>
          <w:p w14:paraId="6A0DDF3A">
            <w:pPr>
              <w:widowControl w:val="0"/>
              <w:spacing w:before="0" w:after="0"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电动康复直立床</w:t>
            </w:r>
          </w:p>
        </w:tc>
        <w:tc>
          <w:tcPr>
            <w:tcW w:w="1833" w:type="dxa"/>
          </w:tcPr>
          <w:p w14:paraId="6FF4A2C9">
            <w:pPr>
              <w:widowControl w:val="0"/>
              <w:spacing w:before="0" w:after="0"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康复科</w:t>
            </w:r>
          </w:p>
        </w:tc>
        <w:tc>
          <w:tcPr>
            <w:tcW w:w="2132" w:type="dxa"/>
          </w:tcPr>
          <w:p w14:paraId="18F83C1F">
            <w:pPr>
              <w:widowControl w:val="0"/>
              <w:spacing w:before="0" w:after="0" w:line="440" w:lineRule="exact"/>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bookmarkStart w:id="0" w:name="_GoBack"/>
            <w:bookmarkEnd w:id="0"/>
          </w:p>
        </w:tc>
      </w:tr>
    </w:tbl>
    <w:p w14:paraId="587998FA">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核心产品：电动直立床</w:t>
      </w:r>
    </w:p>
    <w:p w14:paraId="6399E109">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用途：主要应用于神经系统失控引起的下陵无力、疼痛、痉牵的患者，辅助训练达到康复目的；为偏瘫、截瘫及脑外伤等重症患者提供恢复站立训练，也可用于长期卧床的患者防止起身时产生体位性低血压</w:t>
      </w:r>
    </w:p>
    <w:p w14:paraId="08CF7ECD">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技术参数：</w:t>
      </w:r>
    </w:p>
    <w:p w14:paraId="71C18AC9">
      <w:pPr>
        <w:numPr>
          <w:ilvl w:val="0"/>
          <w:numId w:val="5"/>
        </w:numPr>
        <w:spacing w:line="440" w:lineRule="exact"/>
        <w:ind w:left="0" w:firstLine="0"/>
        <w:rPr>
          <w:rFonts w:ascii="仿宋" w:hAnsi="仿宋" w:eastAsia="仿宋" w:cs="仿宋"/>
          <w:color w:val="000000" w:themeColor="text1"/>
          <w:sz w:val="24"/>
          <w:lang w:val="en-US" w:eastAsia="zh-CN"/>
          <w14:textFill>
            <w14:solidFill>
              <w14:schemeClr w14:val="tx1"/>
            </w14:solidFill>
          </w14:textFill>
        </w:rPr>
      </w:pPr>
      <w:r>
        <w:rPr>
          <w:rFonts w:ascii="仿宋" w:hAnsi="仿宋" w:eastAsia="仿宋" w:cs="仿宋"/>
          <w:color w:val="000000" w:themeColor="text1"/>
          <w:sz w:val="24"/>
          <w14:textFill>
            <w14:solidFill>
              <w14:schemeClr w14:val="tx1"/>
            </w14:solidFill>
          </w14:textFill>
        </w:rPr>
        <w:t>★</w:t>
      </w:r>
      <w:r>
        <w:rPr>
          <w:rFonts w:ascii="仿宋" w:hAnsi="仿宋" w:eastAsia="仿宋" w:cs="仿宋"/>
          <w:color w:val="000000" w:themeColor="text1"/>
          <w:sz w:val="24"/>
          <w:lang w:val="en-US" w:eastAsia="zh-CN"/>
          <w14:textFill>
            <w14:solidFill>
              <w14:schemeClr w14:val="tx1"/>
            </w14:solidFill>
          </w14:textFill>
        </w:rPr>
        <w:t>设备使用年限不低于5年</w:t>
      </w:r>
    </w:p>
    <w:p w14:paraId="73026174">
      <w:pPr>
        <w:numPr>
          <w:ilvl w:val="0"/>
          <w:numId w:val="5"/>
        </w:numPr>
        <w:spacing w:line="440" w:lineRule="exact"/>
        <w:ind w:left="0" w:firstLine="0"/>
        <w:rPr>
          <w:rFonts w:ascii="仿宋" w:hAnsi="仿宋" w:eastAsia="仿宋" w:cs="仿宋"/>
          <w:b w:val="0"/>
          <w:bCs/>
          <w:color w:val="000000" w:themeColor="text1"/>
          <w:sz w:val="24"/>
          <w:lang w:val="en-US" w:eastAsia="zh-CN"/>
          <w14:textFill>
            <w14:solidFill>
              <w14:schemeClr w14:val="tx1"/>
            </w14:solidFill>
          </w14:textFill>
        </w:rPr>
      </w:pPr>
      <w:r>
        <w:rPr>
          <w:rFonts w:hint="eastAsia" w:ascii="仿宋" w:hAnsi="仿宋" w:eastAsia="仿宋" w:cs="仿宋"/>
          <w:b w:val="0"/>
          <w:bCs/>
          <w:color w:val="000000" w:themeColor="text1"/>
          <w:sz w:val="24"/>
          <w:lang w:val="en-US" w:eastAsia="zh-CN"/>
          <w14:textFill>
            <w14:solidFill>
              <w14:schemeClr w14:val="tx1"/>
            </w14:solidFill>
          </w14:textFill>
        </w:rPr>
        <w:t>床</w:t>
      </w:r>
      <w:r>
        <w:rPr>
          <w:rFonts w:ascii="仿宋" w:hAnsi="仿宋" w:eastAsia="仿宋" w:cs="仿宋"/>
          <w:b w:val="0"/>
          <w:bCs/>
          <w:color w:val="000000" w:themeColor="text1"/>
          <w:sz w:val="24"/>
          <w14:textFill>
            <w14:solidFill>
              <w14:schemeClr w14:val="tx1"/>
            </w14:solidFill>
          </w14:textFill>
        </w:rPr>
        <w:t>整体尺寸：长度≥2194cm, 宽度≥264cm</w:t>
      </w:r>
    </w:p>
    <w:p w14:paraId="3AD9F803">
      <w:pPr>
        <w:numPr>
          <w:ilvl w:val="0"/>
          <w:numId w:val="5"/>
        </w:numPr>
        <w:spacing w:line="440" w:lineRule="exact"/>
        <w:ind w:left="0" w:firstLine="0"/>
        <w:rPr>
          <w:rFonts w:ascii="仿宋" w:hAnsi="仿宋" w:eastAsia="仿宋" w:cs="仿宋"/>
          <w:b w:val="0"/>
          <w:bCs/>
          <w:color w:val="000000" w:themeColor="text1"/>
          <w:sz w:val="24"/>
          <w:lang w:val="en-US" w:eastAsia="zh-CN"/>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床体载荷能力≥2180kg</w:t>
      </w:r>
      <w:r>
        <w:rPr>
          <w:rFonts w:ascii="仿宋" w:hAnsi="仿宋" w:eastAsia="仿宋" w:cs="仿宋"/>
          <w:b w:val="0"/>
          <w:bCs/>
          <w:color w:val="000000" w:themeColor="text1"/>
          <w:sz w:val="24"/>
          <w14:textFill>
            <w14:solidFill>
              <w14:schemeClr w14:val="tx1"/>
            </w14:solidFill>
          </w14:textFill>
        </w:rPr>
        <w:br w:type="textWrapping"/>
      </w:r>
      <w:r>
        <w:rPr>
          <w:rFonts w:hint="eastAsia" w:ascii="仿宋" w:hAnsi="仿宋" w:eastAsia="仿宋" w:cs="仿宋"/>
          <w:b w:val="0"/>
          <w:bCs/>
          <w:color w:val="000000" w:themeColor="text1"/>
          <w:sz w:val="24"/>
          <w:lang w:val="en-US" w:eastAsia="zh-CN"/>
          <w14:textFill>
            <w14:solidFill>
              <w14:schemeClr w14:val="tx1"/>
            </w14:solidFill>
          </w14:textFill>
        </w:rPr>
        <w:t xml:space="preserve">   </w:t>
      </w:r>
      <w:r>
        <w:rPr>
          <w:rFonts w:ascii="仿宋" w:hAnsi="仿宋" w:eastAsia="仿宋" w:cs="仿宋"/>
          <w:b w:val="0"/>
          <w:bCs/>
          <w:color w:val="000000" w:themeColor="text1"/>
          <w:sz w:val="24"/>
          <w14:textFill>
            <w14:solidFill>
              <w14:schemeClr w14:val="tx1"/>
            </w14:solidFill>
          </w14:textFill>
        </w:rPr>
        <w:t>绑带载荷能力：1000N±2%</w:t>
      </w:r>
      <w:r>
        <w:rPr>
          <w:rFonts w:ascii="仿宋" w:hAnsi="仿宋" w:eastAsia="仿宋" w:cs="仿宋"/>
          <w:b w:val="0"/>
          <w:bCs/>
          <w:color w:val="000000" w:themeColor="text1"/>
          <w:sz w:val="24"/>
          <w14:textFill>
            <w14:solidFill>
              <w14:schemeClr w14:val="tx1"/>
            </w14:solidFill>
          </w14:textFill>
        </w:rPr>
        <w:br w:type="textWrapping"/>
      </w:r>
      <w:r>
        <w:rPr>
          <w:rFonts w:hint="eastAsia" w:ascii="仿宋" w:hAnsi="仿宋" w:eastAsia="仿宋" w:cs="仿宋"/>
          <w:b w:val="0"/>
          <w:bCs/>
          <w:color w:val="000000" w:themeColor="text1"/>
          <w:sz w:val="24"/>
          <w:lang w:val="en-US" w:eastAsia="zh-CN"/>
          <w14:textFill>
            <w14:solidFill>
              <w14:schemeClr w14:val="tx1"/>
            </w14:solidFill>
          </w14:textFill>
        </w:rPr>
        <w:t xml:space="preserve">   </w:t>
      </w:r>
      <w:r>
        <w:rPr>
          <w:rFonts w:ascii="仿宋" w:hAnsi="仿宋" w:eastAsia="仿宋" w:cs="仿宋"/>
          <w:b w:val="0"/>
          <w:bCs/>
          <w:color w:val="000000" w:themeColor="text1"/>
          <w:sz w:val="24"/>
          <w14:textFill>
            <w14:solidFill>
              <w14:schemeClr w14:val="tx1"/>
            </w14:solidFill>
          </w14:textFill>
        </w:rPr>
        <w:t>站立板载荷能力：2000N±2%</w:t>
      </w:r>
    </w:p>
    <w:p w14:paraId="640ABD79">
      <w:pPr>
        <w:numPr>
          <w:ilvl w:val="0"/>
          <w:numId w:val="5"/>
        </w:numPr>
        <w:spacing w:line="440" w:lineRule="exact"/>
        <w:ind w:left="0" w:firstLine="0"/>
        <w:rPr>
          <w:rFonts w:ascii="仿宋" w:hAnsi="仿宋" w:eastAsia="仿宋" w:cs="仿宋"/>
          <w:b w:val="0"/>
          <w:bCs/>
          <w:color w:val="000000" w:themeColor="text1"/>
          <w:sz w:val="24"/>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载荷重量净重≥110kg</w:t>
      </w:r>
    </w:p>
    <w:p w14:paraId="7EF1237A">
      <w:pPr>
        <w:numPr>
          <w:ilvl w:val="0"/>
          <w:numId w:val="5"/>
        </w:numPr>
        <w:spacing w:line="440" w:lineRule="exact"/>
        <w:ind w:left="0" w:firstLine="0"/>
        <w:rPr>
          <w:rFonts w:ascii="仿宋" w:hAnsi="仿宋" w:eastAsia="仿宋" w:cs="仿宋"/>
          <w:b w:val="0"/>
          <w:bCs/>
          <w:color w:val="000000" w:themeColor="text1"/>
          <w:sz w:val="24"/>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电压用电需求：220V-50HZ</w:t>
      </w:r>
    </w:p>
    <w:p w14:paraId="141B9392">
      <w:pPr>
        <w:numPr>
          <w:ilvl w:val="0"/>
          <w:numId w:val="5"/>
        </w:numPr>
        <w:spacing w:line="440" w:lineRule="exact"/>
        <w:ind w:left="0" w:firstLine="0"/>
        <w:rPr>
          <w:rFonts w:ascii="仿宋" w:hAnsi="仿宋" w:eastAsia="仿宋" w:cs="仿宋"/>
          <w:b w:val="0"/>
          <w:bCs/>
          <w:color w:val="000000" w:themeColor="text1"/>
          <w:sz w:val="24"/>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运行速度最低高度到最高高度调节时间</w:t>
      </w:r>
      <w:r>
        <w:rPr>
          <w:rFonts w:ascii="仿宋" w:hAnsi="仿宋" w:eastAsia="仿宋" w:cs="仿宋"/>
          <w:b w:val="0"/>
          <w:bCs/>
          <w:color w:val="auto"/>
          <w:sz w:val="24"/>
        </w:rPr>
        <w:t>≥30</w:t>
      </w:r>
      <w:r>
        <w:rPr>
          <w:rFonts w:ascii="仿宋" w:hAnsi="仿宋" w:eastAsia="仿宋" w:cs="仿宋"/>
          <w:b w:val="0"/>
          <w:bCs/>
          <w:color w:val="000000" w:themeColor="text1"/>
          <w:sz w:val="24"/>
          <w14:textFill>
            <w14:solidFill>
              <w14:schemeClr w14:val="tx1"/>
            </w14:solidFill>
          </w14:textFill>
        </w:rPr>
        <w:t>秒</w:t>
      </w:r>
    </w:p>
    <w:p w14:paraId="23D5EB7F">
      <w:pPr>
        <w:numPr>
          <w:ilvl w:val="0"/>
          <w:numId w:val="5"/>
        </w:numPr>
        <w:spacing w:line="440" w:lineRule="exact"/>
        <w:ind w:left="0" w:firstLine="0"/>
        <w:rPr>
          <w:rFonts w:ascii="仿宋" w:hAnsi="仿宋" w:eastAsia="仿宋" w:cs="仿宋"/>
          <w:b w:val="0"/>
          <w:bCs/>
          <w:color w:val="000000" w:themeColor="text1"/>
          <w:sz w:val="24"/>
          <w14:textFill>
            <w14:solidFill>
              <w14:schemeClr w14:val="tx1"/>
            </w14:solidFill>
          </w14:textFill>
        </w:rPr>
      </w:pPr>
      <w:r>
        <w:rPr>
          <w:rFonts w:ascii="仿宋" w:hAnsi="仿宋" w:eastAsia="仿宋" w:cs="仿宋"/>
          <w:b w:val="0"/>
          <w:bCs/>
          <w:color w:val="000000" w:themeColor="text1"/>
          <w:sz w:val="24"/>
          <w14:textFill>
            <w14:solidFill>
              <w14:schemeClr w14:val="tx1"/>
            </w14:solidFill>
          </w14:textFill>
        </w:rPr>
        <w:t>双电机设置，单个电机推力≥6000N</w:t>
      </w:r>
    </w:p>
    <w:p w14:paraId="3139699A">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每套设备配置要求：</w:t>
      </w:r>
    </w:p>
    <w:tbl>
      <w:tblPr>
        <w:tblStyle w:val="10"/>
        <w:tblW w:w="763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556"/>
        <w:gridCol w:w="2677"/>
        <w:gridCol w:w="969"/>
        <w:gridCol w:w="726"/>
      </w:tblGrid>
      <w:tr w14:paraId="0595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4758873">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序号</w:t>
            </w:r>
          </w:p>
        </w:tc>
        <w:tc>
          <w:tcPr>
            <w:tcW w:w="2556" w:type="dxa"/>
          </w:tcPr>
          <w:p w14:paraId="72E4F3D5">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名称</w:t>
            </w:r>
          </w:p>
        </w:tc>
        <w:tc>
          <w:tcPr>
            <w:tcW w:w="2677" w:type="dxa"/>
          </w:tcPr>
          <w:p w14:paraId="038180DA">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要求</w:t>
            </w:r>
          </w:p>
        </w:tc>
        <w:tc>
          <w:tcPr>
            <w:tcW w:w="969" w:type="dxa"/>
          </w:tcPr>
          <w:p w14:paraId="30B2AB99">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数量</w:t>
            </w:r>
          </w:p>
        </w:tc>
        <w:tc>
          <w:tcPr>
            <w:tcW w:w="726" w:type="dxa"/>
          </w:tcPr>
          <w:p w14:paraId="05237E12">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单位</w:t>
            </w:r>
          </w:p>
        </w:tc>
      </w:tr>
      <w:tr w14:paraId="69F9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781125F9">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w:t>
            </w:r>
          </w:p>
        </w:tc>
        <w:tc>
          <w:tcPr>
            <w:tcW w:w="2556" w:type="dxa"/>
          </w:tcPr>
          <w:p w14:paraId="02AA8F47">
            <w:pPr>
              <w:widowControl w:val="0"/>
              <w:spacing w:before="0" w:after="0"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床</w:t>
            </w:r>
          </w:p>
        </w:tc>
        <w:tc>
          <w:tcPr>
            <w:tcW w:w="2677" w:type="dxa"/>
          </w:tcPr>
          <w:p w14:paraId="0B8F60E8">
            <w:pPr>
              <w:widowControl w:val="0"/>
              <w:spacing w:before="0" w:after="0"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14DF813D">
            <w:pPr>
              <w:widowControl w:val="0"/>
              <w:spacing w:before="0" w:after="0"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726" w:type="dxa"/>
          </w:tcPr>
          <w:p w14:paraId="6369909A">
            <w:pPr>
              <w:widowControl w:val="0"/>
              <w:spacing w:before="0" w:after="0"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张</w:t>
            </w:r>
          </w:p>
        </w:tc>
      </w:tr>
      <w:tr w14:paraId="0BBE4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292D0F7">
            <w:pPr>
              <w:widowControl w:val="0"/>
              <w:spacing w:before="0" w:after="0" w:line="440" w:lineRule="exact"/>
              <w:jc w:val="center"/>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w:t>
            </w:r>
          </w:p>
        </w:tc>
        <w:tc>
          <w:tcPr>
            <w:tcW w:w="2556" w:type="dxa"/>
          </w:tcPr>
          <w:p w14:paraId="57FA5821">
            <w:pPr>
              <w:widowControl w:val="0"/>
              <w:spacing w:before="0" w:after="0"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合格证、使用说明书、保修卡</w:t>
            </w:r>
          </w:p>
        </w:tc>
        <w:tc>
          <w:tcPr>
            <w:tcW w:w="2677" w:type="dxa"/>
          </w:tcPr>
          <w:p w14:paraId="5042D821">
            <w:pPr>
              <w:widowControl w:val="0"/>
              <w:spacing w:before="0" w:after="0"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w:t>
            </w:r>
          </w:p>
        </w:tc>
        <w:tc>
          <w:tcPr>
            <w:tcW w:w="969" w:type="dxa"/>
          </w:tcPr>
          <w:p w14:paraId="0E73FBF1">
            <w:pPr>
              <w:widowControl w:val="0"/>
              <w:spacing w:before="0" w:after="0" w:line="440" w:lineRule="exact"/>
              <w:rPr>
                <w:rFonts w:hint="eastAsia" w:ascii="仿宋" w:hAnsi="仿宋" w:eastAsia="仿宋" w:cs="仿宋"/>
                <w:b/>
                <w:color w:val="000000" w:themeColor="text1"/>
                <w:sz w:val="24"/>
                <w:lang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726" w:type="dxa"/>
          </w:tcPr>
          <w:p w14:paraId="18907DF2">
            <w:pPr>
              <w:widowControl w:val="0"/>
              <w:spacing w:before="0" w:after="0"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57B7C7D8">
      <w:pPr>
        <w:spacing w:line="440" w:lineRule="exact"/>
        <w:rPr>
          <w:rFonts w:ascii="仿宋" w:hAnsi="仿宋" w:eastAsia="仿宋" w:cs="仿宋"/>
          <w:b/>
          <w:color w:val="000000" w:themeColor="text1"/>
          <w:sz w:val="24"/>
          <w14:textFill>
            <w14:solidFill>
              <w14:schemeClr w14:val="tx1"/>
            </w14:solidFill>
          </w14:textFill>
        </w:rPr>
      </w:pPr>
    </w:p>
    <w:p w14:paraId="44E3A05C">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商务要求：</w:t>
      </w:r>
    </w:p>
    <w:p w14:paraId="5F3AD95F">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1.交货及安装、验收要求</w:t>
      </w:r>
    </w:p>
    <w:p w14:paraId="4378F47C">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1.1交货地点：采购人指定地点。</w:t>
      </w:r>
    </w:p>
    <w:p w14:paraId="42A23F19">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ascii="仿宋" w:hAnsi="仿宋" w:eastAsia="仿宋" w:cs="仿宋"/>
          <w:color w:val="000000" w:themeColor="text1"/>
          <w:sz w:val="24"/>
          <w:u w:val="single"/>
          <w14:textFill>
            <w14:solidFill>
              <w14:schemeClr w14:val="tx1"/>
            </w14:solidFill>
          </w14:textFill>
        </w:rPr>
        <w:t xml:space="preserve">  </w:t>
      </w:r>
      <w:r>
        <w:rPr>
          <w:rFonts w:ascii="仿宋" w:hAnsi="仿宋" w:eastAsia="仿宋" w:cs="仿宋"/>
          <w:color w:val="000000" w:themeColor="text1"/>
          <w:sz w:val="24"/>
          <w14:textFill>
            <w14:solidFill>
              <w14:schemeClr w14:val="tx1"/>
            </w14:solidFill>
          </w14:textFill>
        </w:rPr>
        <w:t>日内完成设备的安装调试。</w:t>
      </w:r>
    </w:p>
    <w:p w14:paraId="62E1499D">
      <w:pPr>
        <w:spacing w:line="440" w:lineRule="exact"/>
        <w:rPr>
          <w:rFonts w:ascii="仿宋" w:hAnsi="仿宋" w:eastAsia="仿宋" w:cs="仿宋"/>
          <w:color w:val="000000" w:themeColor="text1"/>
          <w:sz w:val="24"/>
          <w:highlight w:val="none"/>
          <w14:textFill>
            <w14:solidFill>
              <w14:schemeClr w14:val="tx1"/>
            </w14:solidFill>
          </w14:textFill>
        </w:rPr>
      </w:pPr>
      <w:r>
        <w:rPr>
          <w:rFonts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ascii="仿宋" w:hAnsi="仿宋" w:eastAsia="仿宋" w:cs="仿宋"/>
          <w:color w:val="000000" w:themeColor="text1"/>
          <w:sz w:val="24"/>
          <w:highlight w:val="none"/>
          <w14:textFill>
            <w14:solidFill>
              <w14:schemeClr w14:val="tx1"/>
            </w14:solidFill>
          </w14:textFill>
        </w:rPr>
        <w:t>且原装进口产品生产日期与交货日期差值</w:t>
      </w:r>
      <w:r>
        <w:rPr>
          <w:rFonts w:ascii="仿宋" w:hAnsi="仿宋" w:eastAsia="仿宋" w:cs="仿宋"/>
          <w:b/>
          <w:bCs/>
          <w:color w:val="FF0000"/>
          <w:sz w:val="24"/>
          <w:highlight w:val="none"/>
        </w:rPr>
        <w:t>≤6个月</w:t>
      </w:r>
      <w:r>
        <w:rPr>
          <w:rFonts w:ascii="仿宋" w:hAnsi="仿宋" w:eastAsia="仿宋" w:cs="仿宋"/>
          <w:color w:val="000000" w:themeColor="text1"/>
          <w:sz w:val="24"/>
          <w:highlight w:val="none"/>
          <w14:textFill>
            <w14:solidFill>
              <w14:schemeClr w14:val="tx1"/>
            </w14:solidFill>
          </w14:textFill>
        </w:rPr>
        <w:t>；国产产品生产日期与交货日期差值</w:t>
      </w:r>
      <w:r>
        <w:rPr>
          <w:rFonts w:ascii="仿宋" w:hAnsi="仿宋" w:eastAsia="仿宋" w:cs="仿宋"/>
          <w:b/>
          <w:bCs/>
          <w:color w:val="FF0000"/>
          <w:sz w:val="24"/>
          <w:highlight w:val="none"/>
        </w:rPr>
        <w:t>≤3个月</w:t>
      </w:r>
      <w:r>
        <w:rPr>
          <w:rFonts w:ascii="仿宋" w:hAnsi="仿宋" w:eastAsia="仿宋" w:cs="仿宋"/>
          <w:color w:val="000000" w:themeColor="text1"/>
          <w:sz w:val="24"/>
          <w:highlight w:val="none"/>
          <w14:textFill>
            <w14:solidFill>
              <w14:schemeClr w14:val="tx1"/>
            </w14:solidFill>
          </w14:textFill>
        </w:rPr>
        <w:t>。</w:t>
      </w:r>
    </w:p>
    <w:p w14:paraId="786EE27F">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7F15634F">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1.5验收方式：按《小榄镇公立医院政府采购和验收办法》。</w:t>
      </w:r>
    </w:p>
    <w:p w14:paraId="3EAB8278">
      <w:pPr>
        <w:spacing w:line="440" w:lineRule="exact"/>
        <w:rPr>
          <w:rFonts w:ascii="仿宋" w:hAnsi="仿宋" w:eastAsia="仿宋" w:cs="仿宋"/>
          <w:sz w:val="24"/>
        </w:rPr>
      </w:pPr>
      <w:r>
        <w:rPr>
          <w:rFonts w:ascii="仿宋" w:hAnsi="仿宋" w:eastAsia="仿宋" w:cs="仿宋"/>
          <w:sz w:val="24"/>
        </w:rPr>
        <w:t>★1.6投标供应商须在投标文件提供该项目完整的授权书。</w:t>
      </w:r>
    </w:p>
    <w:p w14:paraId="3BDBF61F">
      <w:pPr>
        <w:spacing w:line="440" w:lineRule="exact"/>
        <w:rPr>
          <w:rFonts w:ascii="仿宋" w:hAnsi="仿宋" w:eastAsia="仿宋" w:cs="仿宋"/>
          <w:sz w:val="24"/>
        </w:rPr>
      </w:pPr>
      <w:r>
        <w:rPr>
          <w:rFonts w:ascii="仿宋" w:hAnsi="仿宋" w:eastAsia="仿宋" w:cs="仿宋"/>
          <w:sz w:val="24"/>
        </w:rPr>
        <w:t>★</w:t>
      </w:r>
      <w:r>
        <w:rPr>
          <w:rFonts w:ascii="仿宋" w:hAnsi="仿宋" w:eastAsia="仿宋" w:cs="仿宋"/>
          <w:sz w:val="24"/>
          <w:lang w:val="en-US" w:eastAsia="zh-CN"/>
        </w:rPr>
        <w:t>1.7</w:t>
      </w:r>
      <w:r>
        <w:rPr>
          <w:rFonts w:ascii="仿宋" w:hAnsi="仿宋" w:eastAsia="仿宋" w:cs="仿宋"/>
          <w:sz w:val="24"/>
        </w:rPr>
        <w:t>乙方所投设备属于计量仪器的，需通过具有国家部门颁发专业检测资质证书的第三方计量检测单位检测并提供合格报告。</w:t>
      </w:r>
    </w:p>
    <w:p w14:paraId="792CA5A3">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2.售后服务要求</w:t>
      </w:r>
    </w:p>
    <w:p w14:paraId="64C0333D">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6BE88B1B">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★2.2中标供应商须提供设备原厂质保（设备原厂质量保修范围和保修期）至</w:t>
      </w:r>
      <w:r>
        <w:rPr>
          <w:rFonts w:ascii="仿宋" w:hAnsi="仿宋" w:eastAsia="仿宋" w:cs="仿宋"/>
          <w:color w:val="FF0000"/>
          <w:sz w:val="24"/>
          <w:highlight w:val="yellow"/>
        </w:rPr>
        <w:t>少为</w:t>
      </w:r>
      <w:r>
        <w:rPr>
          <w:rFonts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2</w:t>
      </w:r>
      <w:r>
        <w:rPr>
          <w:rFonts w:ascii="仿宋" w:hAnsi="仿宋" w:eastAsia="仿宋" w:cs="仿宋"/>
          <w:color w:val="FF0000"/>
          <w:sz w:val="24"/>
          <w:highlight w:val="yellow"/>
          <w:u w:val="single"/>
        </w:rPr>
        <w:t xml:space="preserve">  </w:t>
      </w:r>
      <w:r>
        <w:rPr>
          <w:rFonts w:ascii="仿宋" w:hAnsi="仿宋" w:eastAsia="仿宋" w:cs="仿宋"/>
          <w:color w:val="FF0000"/>
          <w:sz w:val="24"/>
          <w:highlight w:val="yellow"/>
        </w:rPr>
        <w:t>年。</w:t>
      </w:r>
    </w:p>
    <w:p w14:paraId="6F547585">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200D800F">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40C5781E">
      <w:pPr>
        <w:spacing w:line="440" w:lineRule="exact"/>
        <w:rPr>
          <w:rFonts w:ascii="仿宋" w:hAnsi="仿宋" w:eastAsia="仿宋" w:cs="仿宋"/>
          <w:b/>
          <w:color w:val="000000" w:themeColor="text1"/>
          <w:sz w:val="24"/>
          <w14:textFill>
            <w14:solidFill>
              <w14:schemeClr w14:val="tx1"/>
            </w14:solidFill>
          </w14:textFill>
        </w:rPr>
      </w:pPr>
    </w:p>
    <w:p w14:paraId="2B46B08E">
      <w:pPr>
        <w:spacing w:line="440" w:lineRule="exact"/>
        <w:rPr>
          <w:rFonts w:ascii="仿宋" w:hAnsi="仿宋" w:eastAsia="仿宋" w:cs="仿宋"/>
          <w:b/>
          <w:color w:val="000000" w:themeColor="text1"/>
          <w:sz w:val="24"/>
          <w14:textFill>
            <w14:solidFill>
              <w14:schemeClr w14:val="tx1"/>
            </w14:solidFill>
          </w14:textFill>
        </w:rPr>
      </w:pPr>
      <w:r>
        <w:rPr>
          <w:rFonts w:ascii="仿宋" w:hAnsi="仿宋" w:eastAsia="仿宋" w:cs="仿宋"/>
          <w:b/>
          <w:color w:val="000000" w:themeColor="text1"/>
          <w:sz w:val="24"/>
          <w14:textFill>
            <w14:solidFill>
              <w14:schemeClr w14:val="tx1"/>
            </w14:solidFill>
          </w14:textFill>
        </w:rPr>
        <w:t>3.付款方式</w:t>
      </w:r>
    </w:p>
    <w:p w14:paraId="4196B45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1A29EB2">
      <w:pPr>
        <w:spacing w:line="440" w:lineRule="exact"/>
        <w:ind w:firstLine="48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（1）合同；</w:t>
      </w:r>
    </w:p>
    <w:p w14:paraId="58DB2252">
      <w:pPr>
        <w:spacing w:line="440" w:lineRule="exact"/>
        <w:ind w:firstLine="48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（2）验收调试合格报告（加盖采购人公章）；</w:t>
      </w:r>
    </w:p>
    <w:p w14:paraId="6C5CD6BB">
      <w:pPr>
        <w:spacing w:line="440" w:lineRule="exact"/>
        <w:ind w:firstLine="480"/>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（3）中标供应商开具的正式发票（加盖发票专用章）。</w:t>
      </w:r>
    </w:p>
    <w:p w14:paraId="543F9431">
      <w:pPr>
        <w:spacing w:line="440" w:lineRule="exact"/>
        <w:rPr>
          <w:rFonts w:ascii="仿宋" w:hAnsi="仿宋" w:eastAsia="仿宋" w:cs="仿宋"/>
          <w:color w:val="000000" w:themeColor="text1"/>
          <w:sz w:val="24"/>
          <w14:textFill>
            <w14:solidFill>
              <w14:schemeClr w14:val="tx1"/>
            </w14:solidFill>
          </w14:textFill>
        </w:rPr>
      </w:pPr>
      <w:r>
        <w:rPr>
          <w:rFonts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ascii="仿宋" w:hAnsi="仿宋" w:eastAsia="仿宋" w:cs="仿宋"/>
          <w:color w:val="000000" w:themeColor="text1"/>
          <w:sz w:val="24"/>
          <w:highlight w:val="yellow"/>
          <w:u w:val="single"/>
          <w14:textFill>
            <w14:solidFill>
              <w14:schemeClr w14:val="tx1"/>
            </w14:solidFill>
          </w14:textFill>
        </w:rPr>
        <w:t xml:space="preserve"> 质保期满</w:t>
      </w:r>
      <w:r>
        <w:rPr>
          <w:rFonts w:ascii="仿宋" w:hAnsi="仿宋" w:eastAsia="仿宋" w:cs="仿宋"/>
          <w:color w:val="000000" w:themeColor="text1"/>
          <w:sz w:val="24"/>
          <w14:textFill>
            <w14:solidFill>
              <w14:schemeClr w14:val="tx1"/>
            </w14:solidFill>
          </w14:textFill>
        </w:rPr>
        <w:t>后一次性无息支付。</w:t>
      </w:r>
    </w:p>
    <w:p w14:paraId="0E46A04D">
      <w:pPr>
        <w:spacing w:line="440" w:lineRule="exact"/>
        <w:ind w:firstLine="480"/>
        <w:rPr>
          <w:rFonts w:ascii="仿宋" w:hAnsi="仿宋" w:eastAsia="仿宋" w:cs="仿宋"/>
          <w:color w:val="000000" w:themeColor="text1"/>
          <w:sz w:val="24"/>
          <w14:textFill>
            <w14:solidFill>
              <w14:schemeClr w14:val="tx1"/>
            </w14:solidFill>
          </w14:textFill>
        </w:rPr>
      </w:pPr>
    </w:p>
    <w:p w14:paraId="0BF16866">
      <w:pPr>
        <w:spacing w:line="440" w:lineRule="exact"/>
        <w:ind w:firstLine="480"/>
        <w:rPr>
          <w:rFonts w:ascii="仿宋" w:hAnsi="仿宋" w:eastAsia="仿宋" w:cs="仿宋"/>
          <w:color w:val="000000" w:themeColor="text1"/>
          <w:sz w:val="24"/>
          <w14:textFill>
            <w14:solidFill>
              <w14:schemeClr w14:val="tx1"/>
            </w14:solidFill>
          </w14:textFill>
        </w:rPr>
      </w:pPr>
    </w:p>
    <w:p w14:paraId="0FFC604F">
      <w:pPr>
        <w:spacing w:line="440" w:lineRule="exact"/>
        <w:ind w:firstLine="480"/>
        <w:rPr>
          <w:rFonts w:ascii="仿宋" w:hAnsi="仿宋" w:eastAsia="仿宋" w:cs="仿宋"/>
          <w:color w:val="000000" w:themeColor="text1"/>
          <w:sz w:val="24"/>
          <w14:textFill>
            <w14:solidFill>
              <w14:schemeClr w14:val="tx1"/>
            </w14:solidFill>
          </w14:textFill>
        </w:rPr>
      </w:pPr>
    </w:p>
    <w:p w14:paraId="4C45588D">
      <w:pPr>
        <w:spacing w:line="440" w:lineRule="exact"/>
        <w:ind w:firstLine="480"/>
        <w:rPr>
          <w:rFonts w:ascii="仿宋" w:hAnsi="仿宋" w:eastAsia="仿宋" w:cs="仿宋"/>
          <w:color w:val="000000" w:themeColor="text1"/>
          <w:sz w:val="24"/>
          <w14:textFill>
            <w14:solidFill>
              <w14:schemeClr w14:val="tx1"/>
            </w14:solidFill>
          </w14:textFill>
        </w:rPr>
      </w:pPr>
    </w:p>
    <w:p w14:paraId="29B486AE">
      <w:pPr>
        <w:spacing w:line="440" w:lineRule="exact"/>
        <w:jc w:val="center"/>
        <w:rPr>
          <w:rFonts w:ascii="仿宋" w:hAnsi="仿宋" w:eastAsia="仿宋" w:cs="仿宋"/>
          <w:b/>
          <w:bCs/>
          <w:color w:val="000000" w:themeColor="text1"/>
          <w:sz w:val="24"/>
          <w14:textFill>
            <w14:solidFill>
              <w14:schemeClr w14:val="tx1"/>
            </w14:solidFill>
          </w14:textFill>
        </w:rPr>
      </w:pPr>
    </w:p>
    <w:p w14:paraId="06AA81C8">
      <w:pPr>
        <w:spacing w:line="440" w:lineRule="exact"/>
        <w:jc w:val="center"/>
        <w:rPr>
          <w:rFonts w:ascii="仿宋" w:hAnsi="仿宋" w:eastAsia="仿宋" w:cs="仿宋"/>
          <w:b/>
          <w:bCs/>
          <w:color w:val="000000" w:themeColor="text1"/>
          <w:sz w:val="24"/>
          <w14:textFill>
            <w14:solidFill>
              <w14:schemeClr w14:val="tx1"/>
            </w14:solidFill>
          </w14:textFill>
        </w:rPr>
      </w:pPr>
    </w:p>
    <w:p w14:paraId="2A99C001">
      <w:pPr>
        <w:spacing w:line="440" w:lineRule="exact"/>
        <w:jc w:val="center"/>
        <w:rPr>
          <w:rFonts w:ascii="仿宋" w:hAnsi="仿宋" w:eastAsia="仿宋" w:cs="仿宋"/>
          <w:b/>
          <w:bCs/>
          <w:color w:val="000000" w:themeColor="text1"/>
          <w:sz w:val="24"/>
          <w14:textFill>
            <w14:solidFill>
              <w14:schemeClr w14:val="tx1"/>
            </w14:solidFill>
          </w14:textFill>
        </w:rPr>
      </w:pPr>
    </w:p>
    <w:p w14:paraId="0800ACE8">
      <w:pPr>
        <w:spacing w:line="440" w:lineRule="exact"/>
        <w:jc w:val="center"/>
        <w:rPr>
          <w:rFonts w:ascii="仿宋" w:hAnsi="仿宋" w:eastAsia="仿宋" w:cs="仿宋"/>
          <w:b/>
          <w:bCs/>
          <w:color w:val="000000" w:themeColor="text1"/>
          <w:sz w:val="24"/>
          <w14:textFill>
            <w14:solidFill>
              <w14:schemeClr w14:val="tx1"/>
            </w14:solidFill>
          </w14:textFill>
        </w:rPr>
      </w:pPr>
    </w:p>
    <w:p w14:paraId="3C1B8FC7">
      <w:pPr>
        <w:spacing w:line="440" w:lineRule="exact"/>
        <w:jc w:val="center"/>
        <w:rPr>
          <w:rFonts w:ascii="仿宋" w:hAnsi="仿宋" w:eastAsia="仿宋" w:cs="仿宋"/>
          <w:b/>
          <w:bCs/>
          <w:color w:val="000000" w:themeColor="text1"/>
          <w:sz w:val="24"/>
          <w14:textFill>
            <w14:solidFill>
              <w14:schemeClr w14:val="tx1"/>
            </w14:solidFill>
          </w14:textFill>
        </w:rPr>
      </w:pPr>
    </w:p>
    <w:p w14:paraId="08272735">
      <w:pPr>
        <w:spacing w:line="440" w:lineRule="exact"/>
        <w:jc w:val="center"/>
        <w:rPr>
          <w:rFonts w:ascii="仿宋" w:hAnsi="仿宋" w:eastAsia="仿宋" w:cs="仿宋"/>
          <w:b/>
          <w:bCs/>
          <w:color w:val="000000" w:themeColor="text1"/>
          <w:sz w:val="24"/>
          <w14:textFill>
            <w14:solidFill>
              <w14:schemeClr w14:val="tx1"/>
            </w14:solidFill>
          </w14:textFill>
        </w:rPr>
      </w:pPr>
    </w:p>
    <w:p w14:paraId="149A04CF">
      <w:pPr>
        <w:spacing w:line="440" w:lineRule="exact"/>
        <w:jc w:val="center"/>
        <w:rPr>
          <w:rFonts w:ascii="仿宋" w:hAnsi="仿宋" w:eastAsia="仿宋" w:cs="仿宋"/>
          <w:b/>
          <w:bCs/>
          <w:color w:val="000000" w:themeColor="text1"/>
          <w:sz w:val="24"/>
          <w14:textFill>
            <w14:solidFill>
              <w14:schemeClr w14:val="tx1"/>
            </w14:solidFill>
          </w14:textFill>
        </w:rPr>
      </w:pPr>
    </w:p>
    <w:p w14:paraId="57B86396">
      <w:pPr>
        <w:spacing w:line="440" w:lineRule="exact"/>
        <w:jc w:val="center"/>
        <w:rPr>
          <w:rFonts w:ascii="仿宋" w:hAnsi="仿宋" w:eastAsia="仿宋" w:cs="仿宋"/>
          <w:b/>
          <w:bCs/>
          <w:color w:val="000000" w:themeColor="text1"/>
          <w:sz w:val="24"/>
          <w14:textFill>
            <w14:solidFill>
              <w14:schemeClr w14:val="tx1"/>
            </w14:solidFill>
          </w14:textFill>
        </w:rPr>
      </w:pPr>
    </w:p>
    <w:p w14:paraId="03F73335">
      <w:pPr>
        <w:rPr>
          <w:rFonts w:ascii="仿宋" w:hAnsi="仿宋" w:eastAsia="仿宋" w:cs="仿宋"/>
          <w:color w:val="000000" w:themeColor="text1"/>
          <w:sz w:val="24"/>
          <w:highlight w:val="cyan"/>
          <w:lang w:val="zh-CN"/>
          <w14:textFill>
            <w14:solidFill>
              <w14:schemeClr w14:val="tx1"/>
            </w14:solidFill>
          </w14:textFill>
        </w:rPr>
      </w:pPr>
    </w:p>
    <w:p w14:paraId="28F02F67">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CF092B84"/>
    <w:multiLevelType w:val="multilevel"/>
    <w:tmpl w:val="CF092B84"/>
    <w:lvl w:ilvl="0" w:tentative="0">
      <w:start w:val="1"/>
      <w:numFmt w:val="decimal"/>
      <w:suff w:val="nothing"/>
      <w:lvlText w:val="%1．"/>
      <w:lvlJc w:val="left"/>
      <w:pPr>
        <w:tabs>
          <w:tab w:val="left" w:pos="0"/>
        </w:tabs>
        <w:ind w:left="0" w:firstLine="4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D44510B9"/>
    <w:multiLevelType w:val="singleLevel"/>
    <w:tmpl w:val="D44510B9"/>
    <w:lvl w:ilvl="0" w:tentative="0">
      <w:start w:val="1"/>
      <w:numFmt w:val="decimal"/>
      <w:lvlText w:val="%1."/>
      <w:lvlJc w:val="left"/>
      <w:pPr>
        <w:ind w:left="425" w:hanging="425"/>
      </w:pPr>
      <w:rPr>
        <w:rFonts w:hint="default"/>
      </w:rPr>
    </w:lvl>
  </w:abstractNum>
  <w:abstractNum w:abstractNumId="3">
    <w:nsid w:val="0053208E"/>
    <w:multiLevelType w:val="multilevel"/>
    <w:tmpl w:val="0053208E"/>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5945CE"/>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9FD24F9"/>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2824B1C"/>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3C1DE1"/>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2833</Words>
  <Characters>2946</Characters>
  <Lines>5</Lines>
  <Paragraphs>1</Paragraphs>
  <TotalTime>265</TotalTime>
  <ScaleCrop>false</ScaleCrop>
  <LinksUpToDate>false</LinksUpToDate>
  <CharactersWithSpaces>3003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2025-08-28T03:46:25Z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8A47E6DC2A3248DC830CF5F44AA1BAE2_13</vt:lpwstr>
  </property>
  <property fmtid="{D5CDD505-2E9C-101B-9397-08002B2CF9AE}" pid="4" name="KSOTemplateDocerSaveRecord">
    <vt:lpwstr>eyJoZGlkIjoiOWYxZDQzYjgzYjkzNTUwYWVmYTAyNDM3MGRjMjQ1NWYiLCJ1c2VySWQiOiI2Nzc2MTcxNDIifQ==</vt:lpwstr>
  </property>
</Properties>
</file>