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FF0000"/>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（若参数完全响应需要提供佐证材料）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217470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30FE7E76">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3DFADC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58FD94F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eastAsia="zh-CN"/>
          <w14:textFill>
            <w14:solidFill>
              <w14:schemeClr w14:val="tx1"/>
            </w14:solidFill>
          </w14:textFill>
        </w:rPr>
        <w:t>采购需求</w:t>
      </w:r>
      <w:r>
        <w:rPr>
          <w:rFonts w:hint="eastAsia" w:ascii="仿宋" w:hAnsi="仿宋" w:eastAsia="仿宋" w:cs="仿宋"/>
          <w:color w:val="000000" w:themeColor="text1"/>
          <w:sz w:val="24"/>
          <w14:textFill>
            <w14:solidFill>
              <w14:schemeClr w14:val="tx1"/>
            </w14:solidFill>
          </w14:textFill>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15D6B59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6782991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r>
              <w:rPr>
                <w:rFonts w:hint="eastAsia" w:ascii="仿宋" w:hAnsi="仿宋" w:eastAsia="仿宋" w:cs="仿宋"/>
                <w:color w:val="000000" w:themeColor="text1"/>
                <w:sz w:val="24"/>
                <w:lang w:val="en-US" w:eastAsia="zh-CN"/>
                <w14:textFill>
                  <w14:solidFill>
                    <w14:schemeClr w14:val="tx1"/>
                  </w14:solidFill>
                </w14:textFill>
              </w:rPr>
              <w:t>张</w:t>
            </w:r>
            <w:r>
              <w:rPr>
                <w:rFonts w:hint="eastAsia" w:ascii="仿宋" w:hAnsi="仿宋" w:eastAsia="仿宋" w:cs="仿宋"/>
                <w:color w:val="000000" w:themeColor="text1"/>
                <w:sz w:val="24"/>
                <w14:textFill>
                  <w14:solidFill>
                    <w14:schemeClr w14:val="tx1"/>
                  </w14:solidFill>
                </w14:textFill>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电动病床</w:t>
            </w:r>
          </w:p>
        </w:tc>
        <w:tc>
          <w:tcPr>
            <w:tcW w:w="2268" w:type="dxa"/>
          </w:tcPr>
          <w:p w14:paraId="29F1C94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中医康复科</w:t>
            </w:r>
          </w:p>
        </w:tc>
        <w:tc>
          <w:tcPr>
            <w:tcW w:w="2508" w:type="dxa"/>
          </w:tcPr>
          <w:p w14:paraId="5937043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r>
    </w:tbl>
    <w:p w14:paraId="3192A77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电动病床</w:t>
      </w:r>
    </w:p>
    <w:p w14:paraId="426AD8A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61ECE806">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.一键式床挡收放操作；</w:t>
      </w:r>
    </w:p>
    <w:p w14:paraId="2AE2948E">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.采用手控盒操控系统；</w:t>
      </w:r>
    </w:p>
    <w:p w14:paraId="7A7DE3A9">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eastAsia" w:ascii="仿宋" w:hAnsi="仿宋" w:eastAsia="仿宋" w:cs="仿宋"/>
          <w:b w:val="0"/>
          <w:bCs/>
          <w:color w:val="000000" w:themeColor="text1"/>
          <w:sz w:val="24"/>
          <w14:textFill>
            <w14:solidFill>
              <w14:schemeClr w14:val="tx1"/>
            </w14:solidFill>
          </w14:textFill>
        </w:rPr>
        <w:t>.采用医用慢速推杆；</w:t>
      </w:r>
    </w:p>
    <w:p w14:paraId="13A16132">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w:t>
      </w:r>
      <w:r>
        <w:rPr>
          <w:rFonts w:hint="eastAsia" w:ascii="仿宋" w:hAnsi="仿宋" w:eastAsia="仿宋" w:cs="仿宋"/>
          <w:b w:val="0"/>
          <w:bCs/>
          <w:color w:val="000000" w:themeColor="text1"/>
          <w:sz w:val="24"/>
          <w14:textFill>
            <w14:solidFill>
              <w14:schemeClr w14:val="tx1"/>
            </w14:solidFill>
          </w14:textFill>
        </w:rPr>
        <w:t>.全钢架结构，安全稳定；</w:t>
      </w:r>
    </w:p>
    <w:p w14:paraId="46B1BC57">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5</w:t>
      </w:r>
      <w:r>
        <w:rPr>
          <w:rFonts w:hint="eastAsia" w:ascii="仿宋" w:hAnsi="仿宋" w:eastAsia="仿宋" w:cs="仿宋"/>
          <w:b w:val="0"/>
          <w:bCs/>
          <w:color w:val="000000" w:themeColor="text1"/>
          <w:sz w:val="24"/>
          <w14:textFill>
            <w14:solidFill>
              <w14:schemeClr w14:val="tx1"/>
            </w14:solidFill>
          </w14:textFill>
        </w:rPr>
        <w:t>．电动推杆最大推力≥10000N；</w:t>
      </w:r>
    </w:p>
    <w:p w14:paraId="676A9781">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6</w:t>
      </w:r>
      <w:r>
        <w:rPr>
          <w:rFonts w:hint="eastAsia" w:ascii="仿宋" w:hAnsi="仿宋" w:eastAsia="仿宋" w:cs="仿宋"/>
          <w:b w:val="0"/>
          <w:bCs/>
          <w:color w:val="000000" w:themeColor="text1"/>
          <w:sz w:val="24"/>
          <w14:textFill>
            <w14:solidFill>
              <w14:schemeClr w14:val="tx1"/>
            </w14:solidFill>
          </w14:textFill>
        </w:rPr>
        <w:t>.电动推杆数量≤3个；</w:t>
      </w:r>
    </w:p>
    <w:p w14:paraId="7A66D24E">
      <w:pPr>
        <w:numPr>
          <w:ilvl w:val="0"/>
          <w:numId w:val="0"/>
        </w:numPr>
        <w:spacing w:line="440" w:lineRule="exact"/>
        <w:rPr>
          <w:rFonts w:hint="eastAsia" w:ascii="仿宋" w:hAnsi="仿宋" w:eastAsia="仿宋" w:cs="仿宋"/>
          <w:b w:val="0"/>
          <w:bCs/>
          <w:color w:val="000000" w:themeColor="text1"/>
          <w:sz w:val="24"/>
          <w:highlight w:val="none"/>
          <w:lang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7</w:t>
      </w:r>
      <w:r>
        <w:rPr>
          <w:rFonts w:hint="eastAsia" w:ascii="仿宋" w:hAnsi="仿宋" w:eastAsia="仿宋" w:cs="仿宋"/>
          <w:b w:val="0"/>
          <w:bCs/>
          <w:color w:val="000000" w:themeColor="text1"/>
          <w:sz w:val="24"/>
          <w14:textFill>
            <w14:solidFill>
              <w14:schemeClr w14:val="tx1"/>
            </w14:solidFill>
          </w14:textFill>
        </w:rPr>
        <w:t>.角度调节范围：起立角度范围</w:t>
      </w:r>
      <w:r>
        <w:rPr>
          <w:rFonts w:hint="eastAsia" w:ascii="仿宋" w:hAnsi="仿宋" w:eastAsia="仿宋" w:cs="仿宋"/>
          <w:b w:val="0"/>
          <w:bCs/>
          <w:color w:val="000000" w:themeColor="text1"/>
          <w:sz w:val="24"/>
          <w:highlight w:val="none"/>
          <w14:textFill>
            <w14:solidFill>
              <w14:schemeClr w14:val="tx1"/>
            </w14:solidFill>
          </w14:textFill>
        </w:rPr>
        <w:t>≥0°～82°</w:t>
      </w:r>
      <w:r>
        <w:rPr>
          <w:rFonts w:hint="eastAsia" w:ascii="仿宋" w:hAnsi="仿宋" w:eastAsia="仿宋" w:cs="仿宋"/>
          <w:b w:val="0"/>
          <w:bCs/>
          <w:color w:val="000000" w:themeColor="text1"/>
          <w:sz w:val="24"/>
          <w:highlight w:val="none"/>
          <w:lang w:eastAsia="zh-CN"/>
          <w14:textFill>
            <w14:solidFill>
              <w14:schemeClr w14:val="tx1"/>
            </w14:solidFill>
          </w14:textFill>
        </w:rPr>
        <w:t>；</w:t>
      </w:r>
      <w:r>
        <w:rPr>
          <w:rFonts w:hint="eastAsia" w:ascii="仿宋" w:hAnsi="仿宋" w:eastAsia="仿宋" w:cs="仿宋"/>
          <w:b w:val="0"/>
          <w:bCs/>
          <w:color w:val="000000" w:themeColor="text1"/>
          <w:sz w:val="24"/>
          <w:highlight w:val="none"/>
          <w14:textFill>
            <w14:solidFill>
              <w14:schemeClr w14:val="tx1"/>
            </w14:solidFill>
          </w14:textFill>
        </w:rPr>
        <w:t>背部床板可调角度 ≥0°～67°</w:t>
      </w:r>
      <w:r>
        <w:rPr>
          <w:rFonts w:hint="eastAsia" w:ascii="仿宋" w:hAnsi="仿宋" w:eastAsia="仿宋" w:cs="仿宋"/>
          <w:b w:val="0"/>
          <w:bCs/>
          <w:color w:val="000000" w:themeColor="text1"/>
          <w:sz w:val="24"/>
          <w:highlight w:val="none"/>
          <w:lang w:eastAsia="zh-CN"/>
          <w14:textFill>
            <w14:solidFill>
              <w14:schemeClr w14:val="tx1"/>
            </w14:solidFill>
          </w14:textFill>
        </w:rPr>
        <w:t>；</w:t>
      </w:r>
    </w:p>
    <w:p w14:paraId="4194CA87">
      <w:pPr>
        <w:numPr>
          <w:ilvl w:val="0"/>
          <w:numId w:val="0"/>
        </w:numPr>
        <w:spacing w:line="440" w:lineRule="exact"/>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8</w:t>
      </w:r>
      <w:r>
        <w:rPr>
          <w:rFonts w:hint="eastAsia" w:ascii="仿宋" w:hAnsi="仿宋" w:eastAsia="仿宋" w:cs="仿宋"/>
          <w:b w:val="0"/>
          <w:bCs/>
          <w:color w:val="000000" w:themeColor="text1"/>
          <w:sz w:val="24"/>
          <w:highlight w:val="none"/>
          <w14:textFill>
            <w14:solidFill>
              <w14:schemeClr w14:val="tx1"/>
            </w14:solidFill>
          </w14:textFill>
        </w:rPr>
        <w:t>.床面升降范围≥520～750mm；</w:t>
      </w:r>
    </w:p>
    <w:p w14:paraId="5F7D7F37">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w:t>
      </w:r>
      <w:r>
        <w:rPr>
          <w:rFonts w:hint="eastAsia" w:ascii="仿宋" w:hAnsi="仿宋" w:eastAsia="仿宋" w:cs="仿宋"/>
          <w:b w:val="0"/>
          <w:bCs/>
          <w:color w:val="000000" w:themeColor="text1"/>
          <w:sz w:val="24"/>
          <w14:textFill>
            <w14:solidFill>
              <w14:schemeClr w14:val="tx1"/>
            </w14:solidFill>
          </w14:textFill>
        </w:rPr>
        <w:t>.绑带可移动，可拆卸床头、床尾架、床垫；</w:t>
      </w:r>
    </w:p>
    <w:p w14:paraId="28B6C44E">
      <w:pPr>
        <w:numPr>
          <w:ilvl w:val="0"/>
          <w:numId w:val="0"/>
        </w:num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w:t>
      </w:r>
      <w:r>
        <w:rPr>
          <w:rFonts w:hint="eastAsia" w:ascii="仿宋" w:hAnsi="仿宋" w:eastAsia="仿宋" w:cs="仿宋"/>
          <w:b w:val="0"/>
          <w:bCs/>
          <w:color w:val="000000" w:themeColor="text1"/>
          <w:sz w:val="24"/>
          <w:lang w:val="en-US" w:eastAsia="zh-CN"/>
          <w14:textFill>
            <w14:solidFill>
              <w14:schemeClr w14:val="tx1"/>
            </w14:solidFill>
          </w14:textFill>
        </w:rPr>
        <w:t>0</w:t>
      </w:r>
      <w:r>
        <w:rPr>
          <w:rFonts w:hint="eastAsia" w:ascii="仿宋" w:hAnsi="仿宋" w:eastAsia="仿宋" w:cs="仿宋"/>
          <w:b w:val="0"/>
          <w:bCs/>
          <w:color w:val="000000" w:themeColor="text1"/>
          <w:sz w:val="24"/>
          <w14:textFill>
            <w14:solidFill>
              <w14:schemeClr w14:val="tx1"/>
            </w14:solidFill>
          </w14:textFill>
        </w:rPr>
        <w:t>.最大承重</w:t>
      </w:r>
      <w:r>
        <w:rPr>
          <w:rFonts w:hint="eastAsia" w:ascii="仿宋" w:hAnsi="仿宋" w:eastAsia="仿宋" w:cs="仿宋"/>
          <w:b w:val="0"/>
          <w:bCs/>
          <w:color w:val="000000" w:themeColor="text1"/>
          <w:sz w:val="24"/>
          <w:highlight w:val="none"/>
          <w14:textFill>
            <w14:solidFill>
              <w14:schemeClr w14:val="tx1"/>
            </w14:solidFill>
          </w14:textFill>
        </w:rPr>
        <w:t>≥170KG；</w:t>
      </w:r>
    </w:p>
    <w:p w14:paraId="2E3E112F">
      <w:pPr>
        <w:numPr>
          <w:ilvl w:val="0"/>
          <w:numId w:val="0"/>
        </w:numPr>
        <w:spacing w:line="440" w:lineRule="exact"/>
        <w:rPr>
          <w:rFonts w:hint="eastAsia" w:ascii="仿宋" w:hAnsi="仿宋" w:eastAsia="仿宋" w:cs="仿宋"/>
          <w:b w:val="0"/>
          <w:bCs/>
          <w:color w:val="000000" w:themeColor="text1"/>
          <w:sz w:val="24"/>
          <w:highlight w:val="none"/>
          <w:lang w:eastAsia="zh-CN"/>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1</w:t>
      </w:r>
      <w:r>
        <w:rPr>
          <w:rFonts w:hint="eastAsia" w:ascii="仿宋" w:hAnsi="仿宋" w:eastAsia="仿宋" w:cs="仿宋"/>
          <w:b w:val="0"/>
          <w:bCs/>
          <w:color w:val="000000" w:themeColor="text1"/>
          <w:sz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highlight w:val="none"/>
          <w14:textFill>
            <w14:solidFill>
              <w14:schemeClr w14:val="tx1"/>
            </w14:solidFill>
          </w14:textFill>
        </w:rPr>
        <w:t>.外形尺寸≤2050mm×920mm×940mm～2280mm</w:t>
      </w:r>
      <w:r>
        <w:rPr>
          <w:rFonts w:hint="eastAsia" w:ascii="仿宋" w:hAnsi="仿宋" w:eastAsia="仿宋" w:cs="仿宋"/>
          <w:b w:val="0"/>
          <w:bCs/>
          <w:color w:val="000000" w:themeColor="text1"/>
          <w:sz w:val="24"/>
          <w:highlight w:val="none"/>
          <w:lang w:eastAsia="zh-CN"/>
          <w14:textFill>
            <w14:solidFill>
              <w14:schemeClr w14:val="tx1"/>
            </w14:solidFill>
          </w14:textFill>
        </w:rPr>
        <w:t>；</w:t>
      </w:r>
    </w:p>
    <w:p w14:paraId="73FB2D0E">
      <w:pPr>
        <w:numPr>
          <w:ilvl w:val="0"/>
          <w:numId w:val="0"/>
        </w:numPr>
        <w:spacing w:line="440" w:lineRule="exact"/>
        <w:rPr>
          <w:rFonts w:hint="eastAsia" w:ascii="仿宋" w:hAnsi="仿宋" w:eastAsia="仿宋" w:cs="仿宋"/>
          <w:b w:val="0"/>
          <w:bCs/>
          <w:color w:val="000000" w:themeColor="text1"/>
          <w:sz w:val="24"/>
          <w:highlight w:val="none"/>
          <w:lang w:eastAsia="zh-CN"/>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1</w:t>
      </w: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highlight w:val="none"/>
          <w14:textFill>
            <w14:solidFill>
              <w14:schemeClr w14:val="tx1"/>
            </w14:solidFill>
          </w14:textFill>
        </w:rPr>
        <w:t>.床面尺寸≤1960×850mm</w:t>
      </w:r>
      <w:r>
        <w:rPr>
          <w:rFonts w:hint="eastAsia" w:ascii="仿宋" w:hAnsi="仿宋" w:eastAsia="仿宋" w:cs="仿宋"/>
          <w:b w:val="0"/>
          <w:bCs/>
          <w:color w:val="000000" w:themeColor="text1"/>
          <w:sz w:val="24"/>
          <w:highlight w:val="none"/>
          <w:lang w:eastAsia="zh-CN"/>
          <w14:textFill>
            <w14:solidFill>
              <w14:schemeClr w14:val="tx1"/>
            </w14:solidFill>
          </w14:textFill>
        </w:rPr>
        <w:t>；</w:t>
      </w:r>
    </w:p>
    <w:p w14:paraId="02B8E5B8">
      <w:pPr>
        <w:numPr>
          <w:ilvl w:val="0"/>
          <w:numId w:val="0"/>
        </w:numPr>
        <w:spacing w:line="440" w:lineRule="exact"/>
        <w:rPr>
          <w:rFonts w:hint="eastAsia" w:ascii="仿宋" w:hAnsi="仿宋" w:eastAsia="仿宋" w:cs="仿宋"/>
          <w:b w:val="0"/>
          <w:bCs/>
          <w:color w:val="000000" w:themeColor="text1"/>
          <w:sz w:val="24"/>
          <w:highlight w:val="none"/>
          <w:lang w:eastAsia="zh-CN"/>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1</w:t>
      </w:r>
      <w:r>
        <w:rPr>
          <w:rFonts w:hint="eastAsia" w:ascii="仿宋" w:hAnsi="仿宋" w:eastAsia="仿宋" w:cs="仿宋"/>
          <w:b w:val="0"/>
          <w:bCs/>
          <w:color w:val="000000" w:themeColor="text1"/>
          <w:sz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highlight w:val="none"/>
          <w14:textFill>
            <w14:solidFill>
              <w14:schemeClr w14:val="tx1"/>
            </w14:solidFill>
          </w14:textFill>
        </w:rPr>
        <w:t>.脚踏板尺寸≤500*460mm</w:t>
      </w:r>
      <w:r>
        <w:rPr>
          <w:rFonts w:hint="eastAsia" w:ascii="仿宋" w:hAnsi="仿宋" w:eastAsia="仿宋" w:cs="仿宋"/>
          <w:b w:val="0"/>
          <w:bCs/>
          <w:color w:val="000000" w:themeColor="text1"/>
          <w:sz w:val="24"/>
          <w:highlight w:val="none"/>
          <w:lang w:eastAsia="zh-CN"/>
          <w14:textFill>
            <w14:solidFill>
              <w14:schemeClr w14:val="tx1"/>
            </w14:solidFill>
          </w14:textFill>
        </w:rPr>
        <w:t>；</w:t>
      </w:r>
    </w:p>
    <w:p w14:paraId="2A6BFBF5">
      <w:pPr>
        <w:numPr>
          <w:ilvl w:val="0"/>
          <w:numId w:val="0"/>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14.设备使用年限≥5年；</w:t>
      </w:r>
    </w:p>
    <w:p w14:paraId="2D9C1BC3">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5B198E0B">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4269"/>
        <w:gridCol w:w="1131"/>
        <w:gridCol w:w="1592"/>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tcPr>
          <w:p w14:paraId="3A39275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4269" w:type="dxa"/>
          </w:tcPr>
          <w:p w14:paraId="728B52F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1131" w:type="dxa"/>
          </w:tcPr>
          <w:p w14:paraId="48670CB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592" w:type="dxa"/>
          </w:tcPr>
          <w:p w14:paraId="0D9EF68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66CBA77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269" w:type="dxa"/>
          </w:tcPr>
          <w:p w14:paraId="42ECF333">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胸部绑带</w:t>
            </w:r>
          </w:p>
        </w:tc>
        <w:tc>
          <w:tcPr>
            <w:tcW w:w="1131" w:type="dxa"/>
          </w:tcPr>
          <w:p w14:paraId="73DFF0D8">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1592" w:type="dxa"/>
          </w:tcPr>
          <w:p w14:paraId="76FEFD8C">
            <w:pPr>
              <w:spacing w:line="440" w:lineRule="exact"/>
              <w:jc w:val="center"/>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66006D2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269" w:type="dxa"/>
          </w:tcPr>
          <w:p w14:paraId="31B63238">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腹部绑带</w:t>
            </w:r>
          </w:p>
        </w:tc>
        <w:tc>
          <w:tcPr>
            <w:tcW w:w="1131" w:type="dxa"/>
          </w:tcPr>
          <w:p w14:paraId="358E2F02">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1592" w:type="dxa"/>
          </w:tcPr>
          <w:p w14:paraId="6F4FDCA0">
            <w:pPr>
              <w:spacing w:line="440" w:lineRule="exact"/>
              <w:jc w:val="center"/>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56A4A41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4269" w:type="dxa"/>
          </w:tcPr>
          <w:p w14:paraId="05C551DB">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腿部绑带</w:t>
            </w:r>
          </w:p>
        </w:tc>
        <w:tc>
          <w:tcPr>
            <w:tcW w:w="1131" w:type="dxa"/>
          </w:tcPr>
          <w:p w14:paraId="7F33DB8D">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2</w:t>
            </w:r>
          </w:p>
        </w:tc>
        <w:tc>
          <w:tcPr>
            <w:tcW w:w="1592" w:type="dxa"/>
          </w:tcPr>
          <w:p w14:paraId="76CE4BBF">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65454EC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4269" w:type="dxa"/>
          </w:tcPr>
          <w:p w14:paraId="48023CE1">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电源线</w:t>
            </w:r>
          </w:p>
        </w:tc>
        <w:tc>
          <w:tcPr>
            <w:tcW w:w="1131" w:type="dxa"/>
          </w:tcPr>
          <w:p w14:paraId="79422489">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1592" w:type="dxa"/>
          </w:tcPr>
          <w:p w14:paraId="69088D6D">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条</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48845BD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4269" w:type="dxa"/>
          </w:tcPr>
          <w:p w14:paraId="7C40CED3">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手控盒</w:t>
            </w:r>
          </w:p>
        </w:tc>
        <w:tc>
          <w:tcPr>
            <w:tcW w:w="1131" w:type="dxa"/>
          </w:tcPr>
          <w:p w14:paraId="1B42B28A">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1592" w:type="dxa"/>
          </w:tcPr>
          <w:p w14:paraId="5455067C">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个</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00B70E97">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4269" w:type="dxa"/>
          </w:tcPr>
          <w:p w14:paraId="76C2CDDC">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脚踏板</w:t>
            </w:r>
          </w:p>
        </w:tc>
        <w:tc>
          <w:tcPr>
            <w:tcW w:w="1131" w:type="dxa"/>
          </w:tcPr>
          <w:p w14:paraId="591A7588">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1592" w:type="dxa"/>
          </w:tcPr>
          <w:p w14:paraId="714CC57A">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个</w:t>
            </w:r>
          </w:p>
        </w:tc>
      </w:tr>
      <w:tr w14:paraId="2313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02CEEF20">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4269" w:type="dxa"/>
          </w:tcPr>
          <w:p w14:paraId="0D1493A0">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合格证、说明书、保修卡</w:t>
            </w:r>
          </w:p>
        </w:tc>
        <w:tc>
          <w:tcPr>
            <w:tcW w:w="1131" w:type="dxa"/>
          </w:tcPr>
          <w:p w14:paraId="3A2B3FBD">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1592" w:type="dxa"/>
          </w:tcPr>
          <w:p w14:paraId="268E0241">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份</w:t>
            </w:r>
          </w:p>
        </w:tc>
      </w:tr>
    </w:tbl>
    <w:p w14:paraId="5CC4117C">
      <w:pPr>
        <w:spacing w:line="440" w:lineRule="exact"/>
        <w:rPr>
          <w:rFonts w:ascii="仿宋" w:hAnsi="仿宋" w:eastAsia="仿宋" w:cs="仿宋"/>
          <w:b/>
          <w:color w:val="000000" w:themeColor="text1"/>
          <w:sz w:val="24"/>
          <w14:textFill>
            <w14:solidFill>
              <w14:schemeClr w14:val="tx1"/>
            </w14:solidFill>
          </w14:textFill>
        </w:rPr>
      </w:pPr>
    </w:p>
    <w:p w14:paraId="11AD96E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51AF88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775C65E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1C8A269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w:t>
      </w:r>
      <w:r>
        <w:rPr>
          <w:rFonts w:hint="eastAsia" w:ascii="仿宋" w:hAnsi="仿宋" w:eastAsia="仿宋" w:cs="仿宋"/>
          <w:color w:val="000000" w:themeColor="text1"/>
          <w:sz w:val="24"/>
          <w:lang w:eastAsia="zh-CN"/>
          <w14:textFill>
            <w14:solidFill>
              <w14:schemeClr w14:val="tx1"/>
            </w14:solidFill>
          </w14:textFill>
        </w:rPr>
        <w:t>采购需求</w:t>
      </w:r>
      <w:r>
        <w:rPr>
          <w:rFonts w:hint="eastAsia" w:ascii="仿宋" w:hAnsi="仿宋" w:eastAsia="仿宋" w:cs="仿宋"/>
          <w:color w:val="000000" w:themeColor="text1"/>
          <w:sz w:val="24"/>
          <w14:textFill>
            <w14:solidFill>
              <w14:schemeClr w14:val="tx1"/>
            </w14:solidFill>
          </w14:textFill>
        </w:rPr>
        <w:t>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27D3BB04">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lang w:val="en-US" w:eastAsia="zh-CN"/>
        </w:rPr>
        <w:t>≤6个月；</w:t>
      </w:r>
      <w:r>
        <w:rPr>
          <w:rFonts w:hint="eastAsia" w:ascii="仿宋" w:hAnsi="仿宋" w:eastAsia="仿宋" w:cs="仿宋"/>
          <w:color w:val="000000" w:themeColor="text1"/>
          <w:sz w:val="24"/>
          <w:highlight w:val="none"/>
          <w:lang w:val="en-US" w:eastAsia="zh-CN"/>
          <w14:textFill>
            <w14:solidFill>
              <w14:schemeClr w14:val="tx1"/>
            </w14:solidFill>
          </w14:textFill>
        </w:rPr>
        <w:t>国产产品生产日期与交货日期差值</w:t>
      </w:r>
      <w:r>
        <w:rPr>
          <w:rFonts w:hint="eastAsia" w:ascii="仿宋" w:hAnsi="仿宋" w:eastAsia="仿宋" w:cs="仿宋"/>
          <w:b/>
          <w:bCs/>
          <w:color w:val="FF0000"/>
          <w:sz w:val="24"/>
          <w:highlight w:val="none"/>
          <w:lang w:val="en-US" w:eastAsia="zh-CN"/>
        </w:rPr>
        <w:t>≤3个月。</w:t>
      </w:r>
    </w:p>
    <w:p w14:paraId="33B4285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w:t>
      </w:r>
      <w:r>
        <w:rPr>
          <w:rFonts w:hint="eastAsia" w:ascii="仿宋" w:hAnsi="仿宋" w:eastAsia="仿宋" w:cs="仿宋"/>
          <w:color w:val="000000" w:themeColor="text1"/>
          <w:sz w:val="24"/>
          <w:lang w:eastAsia="zh-CN"/>
          <w14:textFill>
            <w14:solidFill>
              <w14:schemeClr w14:val="tx1"/>
            </w14:solidFill>
          </w14:textFill>
        </w:rPr>
        <w:t>公立</w:t>
      </w:r>
      <w:r>
        <w:rPr>
          <w:rFonts w:hint="eastAsia" w:ascii="仿宋" w:hAnsi="仿宋" w:eastAsia="仿宋" w:cs="仿宋"/>
          <w:color w:val="000000" w:themeColor="text1"/>
          <w:sz w:val="24"/>
          <w14:textFill>
            <w14:solidFill>
              <w14:schemeClr w14:val="tx1"/>
            </w14:solidFill>
          </w14:textFill>
        </w:rPr>
        <w:t>医院</w:t>
      </w:r>
      <w:r>
        <w:rPr>
          <w:rFonts w:hint="eastAsia" w:ascii="仿宋" w:hAnsi="仿宋" w:eastAsia="仿宋" w:cs="仿宋"/>
          <w:color w:val="000000" w:themeColor="text1"/>
          <w:sz w:val="24"/>
          <w:lang w:eastAsia="zh-CN"/>
          <w14:textFill>
            <w14:solidFill>
              <w14:schemeClr w14:val="tx1"/>
            </w14:solidFill>
          </w14:textFill>
        </w:rPr>
        <w:t>政府</w:t>
      </w:r>
      <w:r>
        <w:rPr>
          <w:rFonts w:hint="eastAsia" w:ascii="仿宋" w:hAnsi="仿宋" w:eastAsia="仿宋" w:cs="仿宋"/>
          <w:color w:val="000000" w:themeColor="text1"/>
          <w:sz w:val="24"/>
          <w14:textFill>
            <w14:solidFill>
              <w14:schemeClr w14:val="tx1"/>
            </w14:solidFill>
          </w14:textFill>
        </w:rPr>
        <w:t>采购和验收</w:t>
      </w:r>
      <w:r>
        <w:rPr>
          <w:rFonts w:hint="eastAsia" w:ascii="仿宋" w:hAnsi="仿宋" w:eastAsia="仿宋" w:cs="仿宋"/>
          <w:color w:val="000000" w:themeColor="text1"/>
          <w:sz w:val="24"/>
          <w:lang w:eastAsia="zh-CN"/>
          <w14:textFill>
            <w14:solidFill>
              <w14:schemeClr w14:val="tx1"/>
            </w14:solidFill>
          </w14:textFill>
        </w:rPr>
        <w:t>办法</w:t>
      </w:r>
      <w:r>
        <w:rPr>
          <w:rFonts w:hint="eastAsia" w:ascii="仿宋" w:hAnsi="仿宋" w:eastAsia="仿宋" w:cs="仿宋"/>
          <w:color w:val="000000" w:themeColor="text1"/>
          <w:sz w:val="24"/>
          <w14:textFill>
            <w14:solidFill>
              <w14:schemeClr w14:val="tx1"/>
            </w14:solidFill>
          </w14:textFill>
        </w:rPr>
        <w:t>》。</w:t>
      </w:r>
    </w:p>
    <w:p w14:paraId="37607C9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2B351F45">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color w:val="FF0000"/>
          <w:sz w:val="24"/>
          <w:highlight w:val="yellow"/>
        </w:rPr>
        <w:t>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2</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34C701E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14:textFill>
            <w14:solidFill>
              <w14:schemeClr w14:val="tx1"/>
            </w14:solidFill>
          </w14:textFill>
        </w:rPr>
      </w:pPr>
    </w:p>
    <w:p w14:paraId="5BC1A48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2B3E117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0C995C91">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1BE3E546">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4C1E8C7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7EDF3ECE">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6D067A65">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0A92B183">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6398717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A0FC714">
      <w:pPr>
        <w:spacing w:line="440" w:lineRule="exact"/>
        <w:jc w:val="center"/>
        <w:rPr>
          <w:rFonts w:ascii="仿宋" w:hAnsi="仿宋" w:eastAsia="仿宋" w:cs="仿宋"/>
          <w:b/>
          <w:bCs/>
          <w:color w:val="000000" w:themeColor="text1"/>
          <w:sz w:val="24"/>
          <w14:textFill>
            <w14:solidFill>
              <w14:schemeClr w14:val="tx1"/>
            </w14:solidFill>
          </w14:textFill>
        </w:rPr>
      </w:pPr>
    </w:p>
    <w:p w14:paraId="0D6B98E2">
      <w:pPr>
        <w:spacing w:line="440" w:lineRule="exact"/>
        <w:jc w:val="center"/>
        <w:rPr>
          <w:rFonts w:ascii="仿宋" w:hAnsi="仿宋" w:eastAsia="仿宋" w:cs="仿宋"/>
          <w:b/>
          <w:bCs/>
          <w:color w:val="000000" w:themeColor="text1"/>
          <w:sz w:val="24"/>
          <w14:textFill>
            <w14:solidFill>
              <w14:schemeClr w14:val="tx1"/>
            </w14:solidFill>
          </w14:textFill>
        </w:rPr>
      </w:pPr>
    </w:p>
    <w:p w14:paraId="0D31FB7F">
      <w:pPr>
        <w:spacing w:line="440" w:lineRule="exact"/>
        <w:jc w:val="center"/>
        <w:rPr>
          <w:rFonts w:ascii="仿宋" w:hAnsi="仿宋" w:eastAsia="仿宋" w:cs="仿宋"/>
          <w:b/>
          <w:bCs/>
          <w:color w:val="000000" w:themeColor="text1"/>
          <w:sz w:val="24"/>
          <w14:textFill>
            <w14:solidFill>
              <w14:schemeClr w14:val="tx1"/>
            </w14:solidFill>
          </w14:textFill>
        </w:rPr>
      </w:pPr>
    </w:p>
    <w:p w14:paraId="6729E627">
      <w:pPr>
        <w:spacing w:line="440" w:lineRule="exact"/>
        <w:jc w:val="center"/>
        <w:rPr>
          <w:rFonts w:ascii="仿宋" w:hAnsi="仿宋" w:eastAsia="仿宋" w:cs="仿宋"/>
          <w:b/>
          <w:bCs/>
          <w:color w:val="000000" w:themeColor="text1"/>
          <w:sz w:val="24"/>
          <w14:textFill>
            <w14:solidFill>
              <w14:schemeClr w14:val="tx1"/>
            </w14:solidFill>
          </w14:textFill>
        </w:rPr>
      </w:pPr>
    </w:p>
    <w:p w14:paraId="79331301">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05C0B4D3">
      <w:pPr>
        <w:spacing w:line="440" w:lineRule="exact"/>
        <w:jc w:val="center"/>
        <w:rPr>
          <w:rFonts w:ascii="仿宋" w:hAnsi="仿宋" w:eastAsia="仿宋" w:cs="仿宋"/>
          <w:b/>
          <w:bCs/>
          <w:color w:val="000000" w:themeColor="text1"/>
          <w:sz w:val="24"/>
          <w14:textFill>
            <w14:solidFill>
              <w14:schemeClr w14:val="tx1"/>
            </w14:solidFill>
          </w14:textFill>
        </w:rPr>
      </w:pPr>
    </w:p>
    <w:p w14:paraId="5C71D3A0">
      <w:pPr>
        <w:spacing w:line="440" w:lineRule="exact"/>
        <w:jc w:val="center"/>
        <w:rPr>
          <w:rFonts w:ascii="仿宋" w:hAnsi="仿宋" w:eastAsia="仿宋" w:cs="仿宋"/>
          <w:b/>
          <w:bCs/>
          <w:color w:val="000000" w:themeColor="text1"/>
          <w:sz w:val="24"/>
          <w14:textFill>
            <w14:solidFill>
              <w14:schemeClr w14:val="tx1"/>
            </w14:solidFill>
          </w14:textFill>
        </w:rPr>
      </w:pPr>
    </w:p>
    <w:p w14:paraId="430CD401">
      <w:pPr>
        <w:spacing w:line="440" w:lineRule="exact"/>
        <w:jc w:val="center"/>
        <w:rPr>
          <w:rFonts w:ascii="仿宋" w:hAnsi="仿宋" w:eastAsia="仿宋" w:cs="仿宋"/>
          <w:b/>
          <w:bCs/>
          <w:color w:val="000000" w:themeColor="text1"/>
          <w:sz w:val="24"/>
          <w14:textFill>
            <w14:solidFill>
              <w14:schemeClr w14:val="tx1"/>
            </w14:solidFill>
          </w14:textFill>
        </w:rPr>
      </w:pPr>
    </w:p>
    <w:p w14:paraId="77E8FF6E">
      <w:pPr>
        <w:rPr>
          <w:rFonts w:ascii="仿宋" w:hAnsi="仿宋" w:eastAsia="仿宋" w:cs="仿宋"/>
          <w:color w:val="000000" w:themeColor="text1"/>
          <w:sz w:val="24"/>
          <w:highlight w:val="cyan"/>
          <w:lang w:val="zh-CN"/>
          <w14:textFill>
            <w14:solidFill>
              <w14:schemeClr w14:val="tx1"/>
            </w14:solidFill>
          </w14:textFill>
        </w:rPr>
      </w:pPr>
    </w:p>
    <w:p w14:paraId="1C57FA11">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C2C76"/>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3330</Words>
  <Characters>3436</Characters>
  <Lines>5</Lines>
  <Paragraphs>1</Paragraphs>
  <TotalTime>0</TotalTime>
  <ScaleCrop>false</ScaleCrop>
  <LinksUpToDate>false</LinksUpToDate>
  <CharactersWithSpaces>3489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2025-08-27T01:33:28Z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AF93246584F940D5BABF0084B41F1A05_13</vt:lpwstr>
  </property>
  <property fmtid="{D5CDD505-2E9C-101B-9397-08002B2CF9AE}" pid="4" name="KSOTemplateDocerSaveRecord">
    <vt:lpwstr>eyJoZGlkIjoiOWYxZDQzYjgzYjkzNTUwYWVmYTAyNDM3MGRjMjQ1NWYiLCJ1c2VySWQiOiI2Nzc2MTcxNDIifQ==</vt:lpwstr>
  </property>
</Properties>
</file>