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Style w:val="a7"/>
        <w:tblW w:w="6562" w:type="dxa"/>
        <w:jc w:val="center"/>
        <w:tblLook w:val="04A0"/>
      </w:tblPr>
      <w:tblGrid>
        <w:gridCol w:w="2598"/>
        <w:gridCol w:w="1833"/>
        <w:gridCol w:w="2131"/>
      </w:tblGrid>
      <w:tr w:rsidR="008A76A9" w:rsidTr="00DB43A5">
        <w:trPr>
          <w:trHeight w:val="497"/>
          <w:jc w:val="center"/>
        </w:trPr>
        <w:tc>
          <w:tcPr>
            <w:tcW w:w="2598"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1833"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131"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8A76A9" w:rsidTr="00DB43A5">
        <w:trPr>
          <w:trHeight w:val="644"/>
          <w:jc w:val="center"/>
        </w:trPr>
        <w:tc>
          <w:tcPr>
            <w:tcW w:w="2598" w:type="dxa"/>
          </w:tcPr>
          <w:p w:rsidR="008A76A9" w:rsidRDefault="008A76A9" w:rsidP="00DB43A5">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经皮胆红素检测仪</w:t>
            </w:r>
          </w:p>
        </w:tc>
        <w:tc>
          <w:tcPr>
            <w:tcW w:w="1833" w:type="dxa"/>
          </w:tcPr>
          <w:p w:rsidR="008A76A9" w:rsidRDefault="008A76A9" w:rsidP="00DB43A5">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儿童康复保健</w:t>
            </w:r>
          </w:p>
        </w:tc>
        <w:tc>
          <w:tcPr>
            <w:tcW w:w="2131" w:type="dxa"/>
          </w:tcPr>
          <w:p w:rsidR="008A76A9" w:rsidRDefault="008A76A9" w:rsidP="00DB43A5">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p>
        </w:tc>
      </w:tr>
    </w:tbl>
    <w:p w:rsidR="008A76A9" w:rsidRDefault="008A76A9" w:rsidP="008A76A9">
      <w:pPr>
        <w:spacing w:line="440" w:lineRule="exact"/>
        <w:rPr>
          <w:rFonts w:ascii="仿宋" w:eastAsia="仿宋" w:hAnsi="仿宋" w:cs="仿宋"/>
          <w:b/>
          <w:color w:val="000000"/>
          <w:sz w:val="24"/>
        </w:rPr>
      </w:pPr>
    </w:p>
    <w:p w:rsidR="008A76A9" w:rsidRPr="008A76A9" w:rsidRDefault="009B5655" w:rsidP="008A76A9">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sz w:val="24"/>
        </w:rPr>
        <w:t>用途：</w:t>
      </w:r>
      <w:r w:rsidR="008A76A9" w:rsidRPr="008A76A9">
        <w:rPr>
          <w:rFonts w:ascii="仿宋" w:eastAsia="仿宋" w:hAnsi="仿宋" w:cs="仿宋" w:hint="eastAsia"/>
          <w:color w:val="000000" w:themeColor="text1"/>
          <w:sz w:val="24"/>
        </w:rPr>
        <w:t>用于新生儿（包括早产儿）、婴儿及成人的黄疸检测，可直接读取胆红素值的无创检测设备。</w:t>
      </w:r>
    </w:p>
    <w:p w:rsidR="00EF2AA3" w:rsidRDefault="00EF2AA3" w:rsidP="00EF2AA3">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p w:rsidR="008A76A9" w:rsidRDefault="008A76A9" w:rsidP="008A76A9">
      <w:pPr>
        <w:pStyle w:val="a8"/>
        <w:numPr>
          <w:ilvl w:val="0"/>
          <w:numId w:val="10"/>
        </w:numPr>
        <w:autoSpaceDE w:val="0"/>
        <w:autoSpaceDN w:val="0"/>
        <w:adjustRightInd w:val="0"/>
        <w:spacing w:line="360" w:lineRule="auto"/>
        <w:ind w:firstLineChars="0"/>
      </w:pPr>
      <w:r>
        <w:rPr>
          <w:rFonts w:ascii="宋体" w:hAnsi="宋体" w:cs="宋体" w:hint="eastAsia"/>
          <w:sz w:val="24"/>
        </w:rPr>
        <w:t>测量原理：双光程测量双波长的光学浓度差来确定皮下组织的黄度，确保检测安全、准确，适合所有肤色条件。</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光源：脉冲氙弧灯，灯炮使用寿命较长（大于等于15万次测量）</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中文触屏操作：采用点阵式LCD中文触摸屏为操作界面，查看方便，操作简单，同一屏幕</w:t>
      </w:r>
      <w:r w:rsidR="00EC4A6E">
        <w:rPr>
          <w:rFonts w:ascii="宋体" w:hAnsi="宋体" w:cs="宋体" w:hint="eastAsia"/>
          <w:sz w:val="24"/>
        </w:rPr>
        <w:t>至少</w:t>
      </w:r>
      <w:r>
        <w:rPr>
          <w:rFonts w:ascii="宋体" w:hAnsi="宋体" w:cs="宋体" w:hint="eastAsia"/>
          <w:sz w:val="24"/>
        </w:rPr>
        <w:t>可显示3个检测数据。</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lastRenderedPageBreak/>
        <w:t>轻便小巧，便于携带：重量小于等于210克（包括内置电池）</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使用方便：无需一次性耗材，无需用户校准。</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超大数据存储：可储存100个以上患者的数据。</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条码识别功能：利用条形码读码器的扫描功能快速、准确的核对、录入医生、患者ID。</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内置电池：可充电，充满电至少可测量250次或以上</w:t>
      </w:r>
    </w:p>
    <w:p w:rsidR="008A76A9" w:rsidRDefault="00EC4A6E"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至少</w:t>
      </w:r>
      <w:r w:rsidR="008A76A9">
        <w:rPr>
          <w:rFonts w:ascii="宋体" w:hAnsi="宋体" w:cs="宋体" w:hint="eastAsia"/>
          <w:sz w:val="24"/>
        </w:rPr>
        <w:t>有两种单位可选：mg/dL, μmol/L（可切换）</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测量范围大： 0.0~25.0 mg/dL 或 0~425 μmol/L</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精度高：分辨率：0.1mg/dL，重复性误差：CV</w:t>
      </w:r>
      <w:r>
        <w:rPr>
          <w:rFonts w:ascii="Segoe UI" w:eastAsia="Segoe UI" w:hAnsi="Segoe UI" w:cs="Segoe UI"/>
          <w:sz w:val="24"/>
          <w:shd w:val="clear" w:color="auto" w:fill="FFFFFF"/>
        </w:rPr>
        <w:t>＜3%（需附第三方检测</w:t>
      </w:r>
      <w:r>
        <w:rPr>
          <w:rFonts w:ascii="Segoe UI" w:hAnsi="Segoe UI" w:cs="Segoe UI" w:hint="eastAsia"/>
          <w:sz w:val="24"/>
          <w:shd w:val="clear" w:color="auto" w:fill="FFFFFF"/>
        </w:rPr>
        <w:t>报告），</w:t>
      </w:r>
      <w:r>
        <w:rPr>
          <w:rFonts w:ascii="宋体" w:hAnsi="宋体" w:cs="宋体" w:hint="eastAsia"/>
          <w:sz w:val="24"/>
        </w:rPr>
        <w:t>误差范围小于等于1.5 mg/dL 或  25.5 μmol/L。</w:t>
      </w:r>
    </w:p>
    <w:p w:rsidR="008A76A9" w:rsidRPr="003F4BE6" w:rsidRDefault="008A76A9" w:rsidP="008A76A9">
      <w:pPr>
        <w:pStyle w:val="a8"/>
        <w:numPr>
          <w:ilvl w:val="0"/>
          <w:numId w:val="10"/>
        </w:numPr>
        <w:autoSpaceDE w:val="0"/>
        <w:autoSpaceDN w:val="0"/>
        <w:adjustRightInd w:val="0"/>
        <w:spacing w:line="360" w:lineRule="auto"/>
        <w:ind w:firstLineChars="0"/>
        <w:rPr>
          <w:rFonts w:asciiTheme="minorHAnsi" w:eastAsiaTheme="minorEastAsia" w:hAnsiTheme="minorHAnsi" w:cstheme="minorBidi"/>
        </w:rPr>
      </w:pPr>
      <w:r>
        <w:rPr>
          <w:rFonts w:ascii="宋体" w:hAnsi="宋体" w:cs="宋体" w:hint="eastAsia"/>
          <w:sz w:val="24"/>
        </w:rPr>
        <w:t>可预设平均次数，并自动计算平均值。</w:t>
      </w:r>
    </w:p>
    <w:p w:rsidR="008A76A9" w:rsidRDefault="008A76A9" w:rsidP="008A76A9">
      <w:pPr>
        <w:pStyle w:val="a8"/>
        <w:numPr>
          <w:ilvl w:val="0"/>
          <w:numId w:val="10"/>
        </w:numPr>
        <w:autoSpaceDE w:val="0"/>
        <w:autoSpaceDN w:val="0"/>
        <w:adjustRightInd w:val="0"/>
        <w:spacing w:line="360" w:lineRule="auto"/>
        <w:ind w:firstLineChars="0"/>
      </w:pPr>
      <w:r>
        <w:rPr>
          <w:rFonts w:ascii="宋体" w:hAnsi="宋体" w:cs="宋体" w:hint="eastAsia"/>
          <w:sz w:val="24"/>
        </w:rPr>
        <w:t>使用年限不低于5年</w:t>
      </w:r>
    </w:p>
    <w:p w:rsidR="008A76A9" w:rsidRPr="00EF2AA3" w:rsidRDefault="009B5655" w:rsidP="008A76A9">
      <w:pPr>
        <w:numPr>
          <w:ilvl w:val="0"/>
          <w:numId w:val="4"/>
        </w:numPr>
        <w:spacing w:line="440" w:lineRule="exact"/>
        <w:rPr>
          <w:rFonts w:ascii="仿宋" w:eastAsia="仿宋" w:hAnsi="仿宋" w:cs="仿宋"/>
          <w:b/>
          <w:color w:val="000000" w:themeColor="text1"/>
          <w:sz w:val="24"/>
        </w:rPr>
      </w:pPr>
      <w:r w:rsidRPr="00EF2AA3">
        <w:rPr>
          <w:rFonts w:ascii="仿宋" w:eastAsia="仿宋" w:hAnsi="仿宋" w:cs="仿宋" w:hint="eastAsia"/>
          <w:b/>
          <w:color w:val="000000" w:themeColor="text1"/>
          <w:sz w:val="24"/>
        </w:rPr>
        <w:t>每套设备配置要求：</w:t>
      </w:r>
    </w:p>
    <w:tbl>
      <w:tblPr>
        <w:tblStyle w:val="a7"/>
        <w:tblW w:w="8825" w:type="dxa"/>
        <w:tblInd w:w="108" w:type="dxa"/>
        <w:tblLook w:val="04A0"/>
      </w:tblPr>
      <w:tblGrid>
        <w:gridCol w:w="652"/>
        <w:gridCol w:w="1616"/>
        <w:gridCol w:w="4820"/>
        <w:gridCol w:w="891"/>
        <w:gridCol w:w="846"/>
      </w:tblGrid>
      <w:tr w:rsidR="008A76A9" w:rsidTr="00DB43A5">
        <w:tc>
          <w:tcPr>
            <w:tcW w:w="652"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616"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4820"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891"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846"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8A76A9" w:rsidTr="00DB43A5">
        <w:tc>
          <w:tcPr>
            <w:tcW w:w="652"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61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主机含条形码扫码器</w:t>
            </w:r>
          </w:p>
        </w:tc>
        <w:tc>
          <w:tcPr>
            <w:tcW w:w="4820" w:type="dxa"/>
          </w:tcPr>
          <w:p w:rsidR="008A76A9" w:rsidRDefault="008A76A9" w:rsidP="00DB43A5">
            <w:pPr>
              <w:spacing w:line="440" w:lineRule="exact"/>
              <w:rPr>
                <w:rFonts w:ascii="仿宋" w:eastAsia="仿宋" w:hAnsi="仿宋" w:cs="仿宋"/>
                <w:b/>
                <w:color w:val="000000" w:themeColor="text1"/>
                <w:sz w:val="24"/>
              </w:rPr>
            </w:pPr>
            <w:r>
              <w:rPr>
                <w:rFonts w:ascii="Segoe UI" w:eastAsia="Segoe UI" w:hAnsi="Segoe UI" w:cs="Segoe UI"/>
                <w:sz w:val="24"/>
                <w:shd w:val="clear" w:color="auto" w:fill="FFFFFF"/>
              </w:rPr>
              <w:t>含触摸屏≥5英寸，IP54防护等级</w:t>
            </w:r>
          </w:p>
        </w:tc>
        <w:tc>
          <w:tcPr>
            <w:tcW w:w="891"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84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台</w:t>
            </w:r>
          </w:p>
        </w:tc>
      </w:tr>
      <w:tr w:rsidR="008A76A9" w:rsidTr="00DB43A5">
        <w:tc>
          <w:tcPr>
            <w:tcW w:w="652"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61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基座</w:t>
            </w:r>
          </w:p>
        </w:tc>
        <w:tc>
          <w:tcPr>
            <w:tcW w:w="4820" w:type="dxa"/>
          </w:tcPr>
          <w:p w:rsidR="008A76A9" w:rsidRDefault="008A76A9" w:rsidP="00DB43A5">
            <w:pPr>
              <w:spacing w:line="440" w:lineRule="exact"/>
              <w:rPr>
                <w:rFonts w:ascii="Segoe UI" w:hAnsi="Segoe UI" w:cs="Segoe UI"/>
                <w:sz w:val="24"/>
                <w:shd w:val="clear" w:color="auto" w:fill="FFFFFF"/>
              </w:rPr>
            </w:pPr>
            <w:r>
              <w:rPr>
                <w:rFonts w:ascii="Segoe UI" w:hAnsi="Segoe UI" w:cs="Segoe UI" w:hint="eastAsia"/>
                <w:sz w:val="24"/>
                <w:shd w:val="clear" w:color="auto" w:fill="FFFFFF"/>
              </w:rPr>
              <w:t>/</w:t>
            </w:r>
          </w:p>
        </w:tc>
        <w:tc>
          <w:tcPr>
            <w:tcW w:w="891"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84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个</w:t>
            </w:r>
          </w:p>
        </w:tc>
      </w:tr>
      <w:tr w:rsidR="008A76A9" w:rsidTr="00DB43A5">
        <w:tc>
          <w:tcPr>
            <w:tcW w:w="652" w:type="dxa"/>
          </w:tcPr>
          <w:p w:rsidR="008A76A9" w:rsidRDefault="00EC4A6E"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61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电源线</w:t>
            </w:r>
          </w:p>
        </w:tc>
        <w:tc>
          <w:tcPr>
            <w:tcW w:w="4820" w:type="dxa"/>
          </w:tcPr>
          <w:p w:rsidR="008A76A9" w:rsidRDefault="008A76A9" w:rsidP="00DB43A5">
            <w:pPr>
              <w:widowControl/>
              <w:wordWrap w:val="0"/>
              <w:spacing w:beforeAutospacing="1" w:afterAutospacing="1"/>
              <w:jc w:val="left"/>
              <w:rPr>
                <w:rFonts w:ascii="仿宋" w:eastAsia="仿宋" w:hAnsi="仿宋" w:cs="仿宋"/>
                <w:b/>
                <w:color w:val="000000" w:themeColor="text1"/>
                <w:sz w:val="24"/>
              </w:rPr>
            </w:pPr>
            <w:r>
              <w:rPr>
                <w:rFonts w:ascii="Segoe UI" w:hAnsi="Segoe UI" w:cs="Segoe UI" w:hint="eastAsia"/>
                <w:sz w:val="24"/>
                <w:shd w:val="clear" w:color="auto" w:fill="FFFFFF"/>
              </w:rPr>
              <w:t>能交流电充电</w:t>
            </w:r>
          </w:p>
        </w:tc>
        <w:tc>
          <w:tcPr>
            <w:tcW w:w="891"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84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套</w:t>
            </w:r>
          </w:p>
        </w:tc>
      </w:tr>
      <w:tr w:rsidR="008A76A9" w:rsidTr="00DB43A5">
        <w:tc>
          <w:tcPr>
            <w:tcW w:w="652" w:type="dxa"/>
          </w:tcPr>
          <w:p w:rsidR="008A76A9" w:rsidRDefault="00EC4A6E"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61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操作手册</w:t>
            </w:r>
          </w:p>
        </w:tc>
        <w:tc>
          <w:tcPr>
            <w:tcW w:w="4820"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w:t>
            </w:r>
          </w:p>
        </w:tc>
        <w:tc>
          <w:tcPr>
            <w:tcW w:w="891"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84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册</w:t>
            </w:r>
          </w:p>
        </w:tc>
      </w:tr>
      <w:tr w:rsidR="00EC4A6E" w:rsidTr="00DB43A5">
        <w:tc>
          <w:tcPr>
            <w:tcW w:w="652" w:type="dxa"/>
          </w:tcPr>
          <w:p w:rsidR="00EC4A6E" w:rsidRDefault="00EC4A6E" w:rsidP="00DB43A5">
            <w:pPr>
              <w:spacing w:line="44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5</w:t>
            </w:r>
          </w:p>
        </w:tc>
        <w:tc>
          <w:tcPr>
            <w:tcW w:w="1616" w:type="dxa"/>
          </w:tcPr>
          <w:p w:rsidR="00EC4A6E" w:rsidRDefault="00EC4A6E" w:rsidP="00DB43A5">
            <w:pPr>
              <w:spacing w:line="440" w:lineRule="exact"/>
              <w:rPr>
                <w:rFonts w:ascii="仿宋" w:eastAsia="仿宋" w:hAnsi="仿宋" w:cs="仿宋" w:hint="eastAsia"/>
                <w:b/>
                <w:color w:val="000000" w:themeColor="text1"/>
                <w:sz w:val="24"/>
              </w:rPr>
            </w:pPr>
            <w:r>
              <w:rPr>
                <w:rFonts w:ascii="仿宋" w:eastAsia="仿宋" w:hAnsi="仿宋" w:cs="仿宋" w:hint="eastAsia"/>
                <w:b/>
                <w:color w:val="000000" w:themeColor="text1"/>
                <w:sz w:val="24"/>
              </w:rPr>
              <w:t>保修卡</w:t>
            </w:r>
          </w:p>
        </w:tc>
        <w:tc>
          <w:tcPr>
            <w:tcW w:w="4820" w:type="dxa"/>
          </w:tcPr>
          <w:p w:rsidR="00EC4A6E" w:rsidRDefault="00EC4A6E" w:rsidP="00DB43A5">
            <w:pPr>
              <w:spacing w:line="440" w:lineRule="exact"/>
              <w:rPr>
                <w:rFonts w:ascii="仿宋" w:eastAsia="仿宋" w:hAnsi="仿宋" w:cs="仿宋" w:hint="eastAsia"/>
                <w:b/>
                <w:color w:val="000000" w:themeColor="text1"/>
                <w:sz w:val="24"/>
              </w:rPr>
            </w:pPr>
            <w:r>
              <w:rPr>
                <w:rFonts w:ascii="仿宋" w:eastAsia="仿宋" w:hAnsi="仿宋" w:cs="仿宋" w:hint="eastAsia"/>
                <w:b/>
                <w:color w:val="000000" w:themeColor="text1"/>
                <w:sz w:val="24"/>
              </w:rPr>
              <w:t>/</w:t>
            </w:r>
          </w:p>
        </w:tc>
        <w:tc>
          <w:tcPr>
            <w:tcW w:w="891" w:type="dxa"/>
          </w:tcPr>
          <w:p w:rsidR="00EC4A6E" w:rsidRDefault="00EC4A6E" w:rsidP="00DB43A5">
            <w:pPr>
              <w:spacing w:line="440" w:lineRule="exact"/>
              <w:rPr>
                <w:rFonts w:ascii="仿宋" w:eastAsia="仿宋" w:hAnsi="仿宋" w:cs="仿宋" w:hint="eastAsia"/>
                <w:b/>
                <w:color w:val="000000" w:themeColor="text1"/>
                <w:sz w:val="24"/>
              </w:rPr>
            </w:pPr>
            <w:r>
              <w:rPr>
                <w:rFonts w:ascii="仿宋" w:eastAsia="仿宋" w:hAnsi="仿宋" w:cs="仿宋" w:hint="eastAsia"/>
                <w:b/>
                <w:color w:val="000000" w:themeColor="text1"/>
                <w:sz w:val="24"/>
              </w:rPr>
              <w:t>1</w:t>
            </w:r>
          </w:p>
        </w:tc>
        <w:tc>
          <w:tcPr>
            <w:tcW w:w="846" w:type="dxa"/>
          </w:tcPr>
          <w:p w:rsidR="00EC4A6E" w:rsidRDefault="00EC4A6E" w:rsidP="00DB43A5">
            <w:pPr>
              <w:spacing w:line="440" w:lineRule="exact"/>
              <w:rPr>
                <w:rFonts w:ascii="仿宋" w:eastAsia="仿宋" w:hAnsi="仿宋" w:cs="仿宋" w:hint="eastAsia"/>
                <w:b/>
                <w:color w:val="000000" w:themeColor="text1"/>
                <w:sz w:val="24"/>
              </w:rPr>
            </w:pPr>
            <w:r>
              <w:rPr>
                <w:rFonts w:ascii="仿宋" w:eastAsia="仿宋" w:hAnsi="仿宋" w:cs="仿宋" w:hint="eastAsia"/>
                <w:b/>
                <w:color w:val="000000" w:themeColor="text1"/>
                <w:sz w:val="24"/>
              </w:rPr>
              <w:t>本</w:t>
            </w:r>
          </w:p>
        </w:tc>
      </w:tr>
      <w:tr w:rsidR="00EC4A6E" w:rsidTr="00DB43A5">
        <w:tc>
          <w:tcPr>
            <w:tcW w:w="652" w:type="dxa"/>
          </w:tcPr>
          <w:p w:rsidR="00EC4A6E" w:rsidRDefault="00EC4A6E" w:rsidP="00DB43A5">
            <w:pPr>
              <w:spacing w:line="44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6</w:t>
            </w:r>
          </w:p>
        </w:tc>
        <w:tc>
          <w:tcPr>
            <w:tcW w:w="1616" w:type="dxa"/>
          </w:tcPr>
          <w:p w:rsidR="00EC4A6E" w:rsidRDefault="00EC4A6E" w:rsidP="00DB43A5">
            <w:pPr>
              <w:spacing w:line="440" w:lineRule="exact"/>
              <w:rPr>
                <w:rFonts w:ascii="仿宋" w:eastAsia="仿宋" w:hAnsi="仿宋" w:cs="仿宋" w:hint="eastAsia"/>
                <w:b/>
                <w:color w:val="000000" w:themeColor="text1"/>
                <w:sz w:val="24"/>
              </w:rPr>
            </w:pPr>
            <w:r>
              <w:rPr>
                <w:rFonts w:ascii="仿宋" w:eastAsia="仿宋" w:hAnsi="仿宋" w:cs="仿宋" w:hint="eastAsia"/>
                <w:b/>
                <w:color w:val="000000" w:themeColor="text1"/>
                <w:sz w:val="24"/>
              </w:rPr>
              <w:t>合格证</w:t>
            </w:r>
          </w:p>
        </w:tc>
        <w:tc>
          <w:tcPr>
            <w:tcW w:w="4820" w:type="dxa"/>
          </w:tcPr>
          <w:p w:rsidR="00EC4A6E" w:rsidRDefault="00EC4A6E" w:rsidP="00DB43A5">
            <w:pPr>
              <w:spacing w:line="440" w:lineRule="exact"/>
              <w:rPr>
                <w:rFonts w:ascii="仿宋" w:eastAsia="仿宋" w:hAnsi="仿宋" w:cs="仿宋" w:hint="eastAsia"/>
                <w:b/>
                <w:color w:val="000000" w:themeColor="text1"/>
                <w:sz w:val="24"/>
              </w:rPr>
            </w:pPr>
            <w:r>
              <w:rPr>
                <w:rFonts w:ascii="仿宋" w:eastAsia="仿宋" w:hAnsi="仿宋" w:cs="仿宋" w:hint="eastAsia"/>
                <w:b/>
                <w:color w:val="000000" w:themeColor="text1"/>
                <w:sz w:val="24"/>
              </w:rPr>
              <w:t>/</w:t>
            </w:r>
          </w:p>
        </w:tc>
        <w:tc>
          <w:tcPr>
            <w:tcW w:w="891" w:type="dxa"/>
          </w:tcPr>
          <w:p w:rsidR="00EC4A6E" w:rsidRDefault="00EC4A6E" w:rsidP="00DB43A5">
            <w:pPr>
              <w:spacing w:line="440" w:lineRule="exact"/>
              <w:rPr>
                <w:rFonts w:ascii="仿宋" w:eastAsia="仿宋" w:hAnsi="仿宋" w:cs="仿宋" w:hint="eastAsia"/>
                <w:b/>
                <w:color w:val="000000" w:themeColor="text1"/>
                <w:sz w:val="24"/>
              </w:rPr>
            </w:pPr>
            <w:r>
              <w:rPr>
                <w:rFonts w:ascii="仿宋" w:eastAsia="仿宋" w:hAnsi="仿宋" w:cs="仿宋" w:hint="eastAsia"/>
                <w:b/>
                <w:color w:val="000000" w:themeColor="text1"/>
                <w:sz w:val="24"/>
              </w:rPr>
              <w:t>1</w:t>
            </w:r>
          </w:p>
        </w:tc>
        <w:tc>
          <w:tcPr>
            <w:tcW w:w="846" w:type="dxa"/>
          </w:tcPr>
          <w:p w:rsidR="00EC4A6E" w:rsidRDefault="00EC4A6E" w:rsidP="00DB43A5">
            <w:pPr>
              <w:spacing w:line="440" w:lineRule="exact"/>
              <w:rPr>
                <w:rFonts w:ascii="仿宋" w:eastAsia="仿宋" w:hAnsi="仿宋" w:cs="仿宋" w:hint="eastAsia"/>
                <w:b/>
                <w:color w:val="000000" w:themeColor="text1"/>
                <w:sz w:val="24"/>
              </w:rPr>
            </w:pPr>
            <w:r>
              <w:rPr>
                <w:rFonts w:ascii="仿宋" w:eastAsia="仿宋" w:hAnsi="仿宋" w:cs="仿宋" w:hint="eastAsia"/>
                <w:b/>
                <w:color w:val="000000" w:themeColor="text1"/>
                <w:sz w:val="24"/>
              </w:rPr>
              <w:t>本</w:t>
            </w:r>
          </w:p>
        </w:tc>
      </w:tr>
    </w:tbl>
    <w:p w:rsidR="00796D35" w:rsidRPr="00EF2AA3" w:rsidRDefault="00796D35" w:rsidP="008A76A9">
      <w:pPr>
        <w:spacing w:line="440" w:lineRule="exact"/>
        <w:rPr>
          <w:rFonts w:ascii="仿宋" w:eastAsia="仿宋" w:hAnsi="仿宋" w:cs="仿宋"/>
          <w:b/>
          <w:color w:val="000000" w:themeColor="text1"/>
          <w:sz w:val="24"/>
        </w:rPr>
      </w:pPr>
    </w:p>
    <w:p w:rsidR="00796D35" w:rsidRPr="00EF2AA3" w:rsidRDefault="009B5655" w:rsidP="008A76A9">
      <w:pPr>
        <w:numPr>
          <w:ilvl w:val="0"/>
          <w:numId w:val="4"/>
        </w:numPr>
        <w:spacing w:line="440" w:lineRule="exact"/>
        <w:rPr>
          <w:rFonts w:ascii="仿宋" w:eastAsia="仿宋" w:hAnsi="仿宋" w:cs="仿宋"/>
          <w:b/>
          <w:color w:val="000000" w:themeColor="text1"/>
          <w:sz w:val="24"/>
        </w:rPr>
      </w:pPr>
      <w:r w:rsidRPr="00EF2AA3">
        <w:rPr>
          <w:rFonts w:ascii="仿宋" w:eastAsia="仿宋" w:hAnsi="仿宋" w:cs="仿宋" w:hint="eastAsia"/>
          <w:b/>
          <w:color w:val="000000" w:themeColor="text1"/>
          <w:sz w:val="24"/>
        </w:rPr>
        <w:t>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0" w:name="_GoBack"/>
      <w:bookmarkEnd w:id="0"/>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w:t>
      </w:r>
      <w:r>
        <w:rPr>
          <w:rFonts w:ascii="仿宋" w:eastAsia="仿宋" w:hAnsi="仿宋" w:cs="仿宋" w:hint="eastAsia"/>
          <w:color w:val="000000"/>
          <w:sz w:val="24"/>
        </w:rPr>
        <w:lastRenderedPageBreak/>
        <w:t>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EC4A6E">
        <w:rPr>
          <w:rFonts w:ascii="仿宋" w:eastAsia="仿宋" w:hAnsi="仿宋" w:cs="仿宋" w:hint="eastAsia"/>
          <w:color w:val="000000"/>
          <w:sz w:val="24"/>
        </w:rPr>
        <w:t>1</w:t>
      </w:r>
      <w:r>
        <w:rPr>
          <w:rFonts w:ascii="仿宋" w:eastAsia="仿宋" w:hAnsi="仿宋" w:cs="仿宋" w:hint="eastAsia"/>
          <w:color w:val="000000"/>
          <w:sz w:val="24"/>
        </w:rPr>
        <w:t xml:space="preserve">  年。</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w:t>
      </w:r>
      <w:r w:rsidR="0032715C">
        <w:rPr>
          <w:rFonts w:ascii="仿宋" w:eastAsia="仿宋" w:hAnsi="仿宋" w:cs="仿宋" w:hint="eastAsia"/>
          <w:sz w:val="24"/>
        </w:rPr>
        <w:t>二</w:t>
      </w:r>
      <w:r>
        <w:rPr>
          <w:rFonts w:ascii="仿宋" w:eastAsia="仿宋" w:hAnsi="仿宋" w:cs="仿宋" w:hint="eastAsia"/>
          <w:sz w:val="24"/>
        </w:rPr>
        <w:t>期：合同总金额的5%的款项在</w:t>
      </w:r>
      <w:r>
        <w:rPr>
          <w:rFonts w:ascii="仿宋" w:eastAsia="仿宋" w:hAnsi="仿宋" w:cs="仿宋" w:hint="eastAsia"/>
          <w:sz w:val="24"/>
          <w:u w:val="single"/>
        </w:rPr>
        <w:t>质保期</w:t>
      </w:r>
      <w:r>
        <w:rPr>
          <w:rFonts w:ascii="仿宋" w:eastAsia="仿宋" w:hAnsi="仿宋" w:cs="仿宋" w:hint="eastAsia"/>
          <w:sz w:val="24"/>
        </w:rPr>
        <w:lastRenderedPageBreak/>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BF2" w:rsidRDefault="000A6BF2" w:rsidP="00055341">
      <w:r>
        <w:separator/>
      </w:r>
    </w:p>
  </w:endnote>
  <w:endnote w:type="continuationSeparator" w:id="0">
    <w:p w:rsidR="000A6BF2" w:rsidRDefault="000A6BF2"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BF2" w:rsidRDefault="000A6BF2" w:rsidP="00055341">
      <w:r>
        <w:separator/>
      </w:r>
    </w:p>
  </w:footnote>
  <w:footnote w:type="continuationSeparator" w:id="0">
    <w:p w:rsidR="000A6BF2" w:rsidRDefault="000A6BF2"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2C992258"/>
    <w:multiLevelType w:val="singleLevel"/>
    <w:tmpl w:val="2C992258"/>
    <w:lvl w:ilvl="0">
      <w:start w:val="1"/>
      <w:numFmt w:val="decimal"/>
      <w:lvlText w:val="%1."/>
      <w:lvlJc w:val="left"/>
      <w:pPr>
        <w:ind w:left="425" w:hanging="425"/>
      </w:pPr>
      <w:rPr>
        <w:rFonts w:hint="default"/>
      </w:rPr>
    </w:lvl>
  </w:abstractNum>
  <w:abstractNum w:abstractNumId="4">
    <w:nsid w:val="3CC1C2D7"/>
    <w:multiLevelType w:val="singleLevel"/>
    <w:tmpl w:val="3CC1C2D7"/>
    <w:lvl w:ilvl="0">
      <w:start w:val="1"/>
      <w:numFmt w:val="chineseCounting"/>
      <w:suff w:val="nothing"/>
      <w:lvlText w:val="%1、"/>
      <w:lvlJc w:val="left"/>
      <w:rPr>
        <w:rFonts w:hint="eastAsia"/>
      </w:rPr>
    </w:lvl>
  </w:abstractNum>
  <w:abstractNum w:abstractNumId="5">
    <w:nsid w:val="3FEF712F"/>
    <w:multiLevelType w:val="hybridMultilevel"/>
    <w:tmpl w:val="F0A81FB4"/>
    <w:lvl w:ilvl="0" w:tplc="3E14DB5E">
      <w:start w:val="1"/>
      <w:numFmt w:val="decimal"/>
      <w:lvlText w:val="%1、"/>
      <w:lvlJc w:val="left"/>
      <w:pPr>
        <w:ind w:left="284" w:hanging="2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6A2397"/>
    <w:multiLevelType w:val="singleLevel"/>
    <w:tmpl w:val="ABF08270"/>
    <w:lvl w:ilvl="0">
      <w:start w:val="2"/>
      <w:numFmt w:val="decimal"/>
      <w:suff w:val="nothing"/>
      <w:lvlText w:val="%1、"/>
      <w:lvlJc w:val="left"/>
      <w:pPr>
        <w:ind w:left="0" w:firstLine="0"/>
      </w:pPr>
      <w:rPr>
        <w:rFonts w:hint="eastAsia"/>
      </w:rPr>
    </w:lvl>
  </w:abstractNum>
  <w:abstractNum w:abstractNumId="7">
    <w:nsid w:val="649A21E0"/>
    <w:multiLevelType w:val="singleLevel"/>
    <w:tmpl w:val="0409000F"/>
    <w:lvl w:ilvl="0">
      <w:start w:val="1"/>
      <w:numFmt w:val="decimal"/>
      <w:lvlText w:val="%1."/>
      <w:lvlJc w:val="left"/>
      <w:pPr>
        <w:ind w:left="420" w:hanging="420"/>
      </w:pPr>
      <w:rPr>
        <w:rFonts w:hint="eastAsia"/>
      </w:rPr>
    </w:lvl>
  </w:abstractNum>
  <w:abstractNum w:abstractNumId="8">
    <w:nsid w:val="68CF8F3E"/>
    <w:multiLevelType w:val="singleLevel"/>
    <w:tmpl w:val="68CF8F3E"/>
    <w:lvl w:ilvl="0">
      <w:start w:val="1"/>
      <w:numFmt w:val="decimal"/>
      <w:lvlText w:val="%1."/>
      <w:lvlJc w:val="left"/>
      <w:pPr>
        <w:ind w:left="425" w:hanging="425"/>
      </w:pPr>
      <w:rPr>
        <w:rFonts w:hint="default"/>
      </w:rPr>
    </w:lvl>
  </w:abstractNum>
  <w:abstractNum w:abstractNumId="9">
    <w:nsid w:val="75906A68"/>
    <w:multiLevelType w:val="hybridMultilevel"/>
    <w:tmpl w:val="2DA8D59E"/>
    <w:lvl w:ilvl="0" w:tplc="0409000F">
      <w:start w:val="1"/>
      <w:numFmt w:val="decimal"/>
      <w:lvlText w:val="%1."/>
      <w:lvlJc w:val="left"/>
      <w:pPr>
        <w:ind w:left="420" w:hanging="420"/>
      </w:pPr>
    </w:lvl>
    <w:lvl w:ilvl="1" w:tplc="3E14DB5E">
      <w:start w:val="1"/>
      <w:numFmt w:val="decimal"/>
      <w:lvlText w:val="%2、"/>
      <w:lvlJc w:val="left"/>
      <w:pPr>
        <w:ind w:left="284" w:hanging="284"/>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8"/>
  </w:num>
  <w:num w:numId="6">
    <w:abstractNumId w:val="6"/>
  </w:num>
  <w:num w:numId="7">
    <w:abstractNumId w:val="9"/>
  </w:num>
  <w:num w:numId="8">
    <w:abstractNumId w:val="5"/>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A6BF2"/>
    <w:rsid w:val="000C4E8E"/>
    <w:rsid w:val="000D4823"/>
    <w:rsid w:val="00101055"/>
    <w:rsid w:val="00142C94"/>
    <w:rsid w:val="00172098"/>
    <w:rsid w:val="001A2E0A"/>
    <w:rsid w:val="001C3436"/>
    <w:rsid w:val="001D0BF9"/>
    <w:rsid w:val="0020444F"/>
    <w:rsid w:val="00205A81"/>
    <w:rsid w:val="0021765C"/>
    <w:rsid w:val="00236168"/>
    <w:rsid w:val="00293342"/>
    <w:rsid w:val="002B351A"/>
    <w:rsid w:val="002C1D83"/>
    <w:rsid w:val="002D465D"/>
    <w:rsid w:val="0032715C"/>
    <w:rsid w:val="0035345C"/>
    <w:rsid w:val="003A3903"/>
    <w:rsid w:val="003D4ABC"/>
    <w:rsid w:val="003F4B3D"/>
    <w:rsid w:val="004B234A"/>
    <w:rsid w:val="00506C5F"/>
    <w:rsid w:val="00527C0D"/>
    <w:rsid w:val="00544162"/>
    <w:rsid w:val="005459E1"/>
    <w:rsid w:val="00581B14"/>
    <w:rsid w:val="0063702E"/>
    <w:rsid w:val="00697BB0"/>
    <w:rsid w:val="006F39F9"/>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C4A6E"/>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4C8A1-0963-4E23-8838-AA467221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3</cp:revision>
  <dcterms:created xsi:type="dcterms:W3CDTF">2025-05-23T01:52:00Z</dcterms:created>
  <dcterms:modified xsi:type="dcterms:W3CDTF">2025-06-13T01:10:00Z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