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5EED5">
      <w:pPr>
        <w:jc w:val="left"/>
        <w:rPr>
          <w:rFonts w:hint="eastAsia" w:ascii="宋体" w:hAnsi="宋体" w:eastAsia="宋体"/>
          <w:b/>
          <w:bCs/>
          <w:sz w:val="36"/>
          <w:szCs w:val="36"/>
          <w:lang w:val="en-US" w:eastAsia="zh-CN"/>
        </w:rPr>
      </w:pPr>
      <w:r>
        <w:rPr>
          <w:rFonts w:hint="eastAsia" w:ascii="宋体" w:hAnsi="宋体" w:eastAsia="宋体"/>
          <w:b w:val="0"/>
          <w:bCs w:val="0"/>
          <w:sz w:val="36"/>
          <w:szCs w:val="36"/>
          <w:lang w:val="en-US" w:eastAsia="zh-CN"/>
        </w:rPr>
        <w:t>附件3</w:t>
      </w:r>
      <w:bookmarkStart w:id="0" w:name="_GoBack"/>
      <w:bookmarkEnd w:id="0"/>
      <w:r>
        <w:rPr>
          <w:rFonts w:hint="eastAsia" w:ascii="宋体" w:hAnsi="宋体" w:eastAsia="宋体"/>
          <w:b/>
          <w:bCs/>
          <w:sz w:val="36"/>
          <w:szCs w:val="36"/>
          <w:lang w:val="en-US" w:eastAsia="zh-CN"/>
        </w:rPr>
        <w:t xml:space="preserve">               </w:t>
      </w:r>
    </w:p>
    <w:p w14:paraId="6A96509D">
      <w:pPr>
        <w:ind w:firstLine="1084" w:firstLineChars="300"/>
        <w:jc w:val="center"/>
        <w:rPr>
          <w:rFonts w:ascii="仿宋" w:hAnsi="仿宋" w:eastAsia="仿宋" w:cs="仿宋"/>
          <w:b/>
          <w:bCs/>
          <w:kern w:val="0"/>
          <w:sz w:val="36"/>
          <w:szCs w:val="36"/>
        </w:rPr>
      </w:pPr>
      <w:r>
        <w:rPr>
          <w:rFonts w:hint="eastAsia" w:ascii="宋体" w:hAnsi="宋体" w:eastAsia="宋体"/>
          <w:b/>
          <w:bCs/>
          <w:sz w:val="36"/>
          <w:szCs w:val="36"/>
        </w:rPr>
        <w:t>中山市小榄人民医院自费药品处方流转平台院外药品销售药店遴选评分表</w:t>
      </w:r>
    </w:p>
    <w:p w14:paraId="6A351156">
      <w:pPr>
        <w:spacing w:line="600" w:lineRule="exact"/>
        <w:jc w:val="left"/>
        <w:rPr>
          <w:rFonts w:hint="eastAsia" w:ascii="宋体" w:hAnsi="宋体" w:eastAsia="宋体"/>
          <w:b/>
          <w:bCs/>
          <w:sz w:val="36"/>
          <w:szCs w:val="36"/>
        </w:rPr>
      </w:pPr>
      <w:r>
        <w:rPr>
          <w:rFonts w:hint="eastAsia" w:ascii="宋体" w:hAnsi="宋体"/>
          <w:sz w:val="32"/>
          <w:szCs w:val="32"/>
          <w:lang w:val="en-US" w:eastAsia="zh-CN"/>
        </w:rPr>
        <w:t>药店</w:t>
      </w:r>
      <w:r>
        <w:rPr>
          <w:rFonts w:hint="eastAsia" w:ascii="宋体" w:hAnsi="宋体"/>
          <w:sz w:val="32"/>
          <w:szCs w:val="32"/>
        </w:rPr>
        <w:t xml:space="preserve">名称：                                    </w:t>
      </w:r>
      <w:r>
        <w:rPr>
          <w:rFonts w:hint="eastAsia" w:ascii="宋体" w:hAnsi="宋体"/>
          <w:sz w:val="32"/>
          <w:szCs w:val="32"/>
          <w:lang w:val="en-US" w:eastAsia="zh-CN"/>
        </w:rPr>
        <w:t>评分</w:t>
      </w:r>
      <w:r>
        <w:rPr>
          <w:rFonts w:hint="eastAsia" w:ascii="宋体" w:hAnsi="宋体"/>
          <w:sz w:val="32"/>
          <w:szCs w:val="32"/>
        </w:rPr>
        <w:t>日期：</w:t>
      </w:r>
    </w:p>
    <w:tbl>
      <w:tblPr>
        <w:tblStyle w:val="5"/>
        <w:tblW w:w="10397" w:type="dxa"/>
        <w:jc w:val="center"/>
        <w:tblLayout w:type="autofit"/>
        <w:tblCellMar>
          <w:top w:w="0" w:type="dxa"/>
          <w:left w:w="0" w:type="dxa"/>
          <w:bottom w:w="0" w:type="dxa"/>
          <w:right w:w="0" w:type="dxa"/>
        </w:tblCellMar>
      </w:tblPr>
      <w:tblGrid>
        <w:gridCol w:w="1146"/>
        <w:gridCol w:w="4333"/>
        <w:gridCol w:w="2027"/>
        <w:gridCol w:w="2280"/>
        <w:gridCol w:w="611"/>
      </w:tblGrid>
      <w:tr w14:paraId="3476935E">
        <w:tblPrEx>
          <w:tblCellMar>
            <w:top w:w="0" w:type="dxa"/>
            <w:left w:w="0" w:type="dxa"/>
            <w:bottom w:w="0" w:type="dxa"/>
            <w:right w:w="0" w:type="dxa"/>
          </w:tblCellMar>
        </w:tblPrEx>
        <w:trPr>
          <w:trHeight w:val="851" w:hRule="atLeast"/>
          <w:jc w:val="center"/>
        </w:trPr>
        <w:tc>
          <w:tcPr>
            <w:tcW w:w="1146"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center"/>
          </w:tcPr>
          <w:p w14:paraId="5BF82959">
            <w:pPr>
              <w:spacing w:line="6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指标（权重）</w:t>
            </w:r>
          </w:p>
        </w:tc>
        <w:tc>
          <w:tcPr>
            <w:tcW w:w="4333"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bottom w:w="0" w:type="dxa"/>
              <w:right w:w="15" w:type="dxa"/>
            </w:tcMar>
            <w:vAlign w:val="center"/>
          </w:tcPr>
          <w:p w14:paraId="7F16F5C7">
            <w:pPr>
              <w:spacing w:line="600" w:lineRule="exact"/>
              <w:ind w:firstLine="211" w:firstLineChars="100"/>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审核内容</w:t>
            </w:r>
          </w:p>
        </w:tc>
        <w:tc>
          <w:tcPr>
            <w:tcW w:w="2027" w:type="dxa"/>
            <w:tcBorders>
              <w:top w:val="single" w:color="000000" w:sz="8" w:space="0"/>
              <w:left w:val="single" w:color="000000" w:sz="8" w:space="0"/>
              <w:bottom w:val="single" w:color="auto" w:sz="4" w:space="0"/>
              <w:right w:val="single" w:color="auto" w:sz="4" w:space="0"/>
            </w:tcBorders>
            <w:vAlign w:val="center"/>
          </w:tcPr>
          <w:p w14:paraId="765A5C89">
            <w:pPr>
              <w:spacing w:line="600" w:lineRule="exact"/>
              <w:ind w:firstLine="211" w:firstLineChars="100"/>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评分方法及标准</w:t>
            </w:r>
          </w:p>
        </w:tc>
        <w:tc>
          <w:tcPr>
            <w:tcW w:w="2280" w:type="dxa"/>
            <w:tcBorders>
              <w:top w:val="single" w:color="000000" w:sz="8" w:space="0"/>
              <w:left w:val="single" w:color="000000" w:sz="8" w:space="0"/>
              <w:bottom w:val="single" w:color="auto" w:sz="4" w:space="0"/>
              <w:right w:val="single" w:color="auto" w:sz="4" w:space="0"/>
            </w:tcBorders>
            <w:vAlign w:val="center"/>
          </w:tcPr>
          <w:p w14:paraId="6EFA087A">
            <w:pPr>
              <w:spacing w:line="6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分值</w:t>
            </w:r>
          </w:p>
        </w:tc>
        <w:tc>
          <w:tcPr>
            <w:tcW w:w="611" w:type="dxa"/>
            <w:tcBorders>
              <w:top w:val="single" w:color="000000" w:sz="8" w:space="0"/>
              <w:left w:val="single" w:color="auto" w:sz="4" w:space="0"/>
              <w:bottom w:val="single" w:color="auto" w:sz="4" w:space="0"/>
              <w:right w:val="single" w:color="000000" w:sz="8" w:space="0"/>
            </w:tcBorders>
            <w:vAlign w:val="center"/>
          </w:tcPr>
          <w:p w14:paraId="3F5259D7">
            <w:pPr>
              <w:spacing w:line="60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得分</w:t>
            </w:r>
          </w:p>
        </w:tc>
      </w:tr>
      <w:tr w14:paraId="073A0F0C">
        <w:tblPrEx>
          <w:tblCellMar>
            <w:top w:w="0" w:type="dxa"/>
            <w:left w:w="0" w:type="dxa"/>
            <w:bottom w:w="0" w:type="dxa"/>
            <w:right w:w="0" w:type="dxa"/>
          </w:tblCellMar>
        </w:tblPrEx>
        <w:trPr>
          <w:trHeight w:val="830" w:hRule="atLeast"/>
          <w:jc w:val="center"/>
        </w:trPr>
        <w:tc>
          <w:tcPr>
            <w:tcW w:w="1146" w:type="dxa"/>
            <w:vMerge w:val="restart"/>
            <w:tcBorders>
              <w:top w:val="single" w:color="auto" w:sz="4" w:space="0"/>
              <w:left w:val="single" w:color="auto" w:sz="4" w:space="0"/>
              <w:right w:val="single" w:color="000000" w:sz="8" w:space="0"/>
            </w:tcBorders>
            <w:shd w:val="clear" w:color="auto" w:fill="auto"/>
            <w:tcMar>
              <w:top w:w="15" w:type="dxa"/>
              <w:left w:w="15" w:type="dxa"/>
              <w:bottom w:w="0" w:type="dxa"/>
              <w:right w:w="15" w:type="dxa"/>
            </w:tcMar>
            <w:vAlign w:val="center"/>
          </w:tcPr>
          <w:p w14:paraId="65A37CB5">
            <w:pPr>
              <w:spacing w:line="600" w:lineRule="exact"/>
              <w:jc w:val="center"/>
              <w:rPr>
                <w:rFonts w:hint="eastAsia"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（一）</w:t>
            </w:r>
          </w:p>
          <w:p w14:paraId="269E6BC7">
            <w:pPr>
              <w:spacing w:line="600" w:lineRule="exact"/>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供应商的资质</w:t>
            </w:r>
            <w:r>
              <w:rPr>
                <w:rFonts w:hint="eastAsia" w:asciiTheme="minorEastAsia" w:hAnsiTheme="minorEastAsia" w:cstheme="minorEastAsia"/>
                <w:b/>
                <w:bCs/>
                <w:color w:val="auto"/>
                <w:sz w:val="21"/>
                <w:szCs w:val="21"/>
                <w:lang w:val="en-US" w:eastAsia="zh-CN"/>
              </w:rPr>
              <w:t>（</w:t>
            </w:r>
            <w:r>
              <w:rPr>
                <w:rFonts w:hint="eastAsia" w:asciiTheme="minorEastAsia" w:hAnsiTheme="minorEastAsia" w:eastAsiaTheme="minorEastAsia" w:cstheme="minorEastAsia"/>
                <w:color w:val="auto"/>
                <w:kern w:val="0"/>
                <w:szCs w:val="21"/>
                <w:lang w:bidi="ar"/>
              </w:rPr>
              <w:t>一票否决项</w:t>
            </w:r>
            <w:r>
              <w:rPr>
                <w:rFonts w:hint="eastAsia" w:asciiTheme="minorEastAsia" w:hAnsiTheme="minorEastAsia" w:cstheme="minorEastAsia"/>
                <w:b/>
                <w:bCs/>
                <w:color w:val="auto"/>
                <w:sz w:val="21"/>
                <w:szCs w:val="21"/>
                <w:lang w:val="en-US" w:eastAsia="zh-CN"/>
              </w:rPr>
              <w:t>）</w:t>
            </w:r>
          </w:p>
        </w:tc>
        <w:tc>
          <w:tcPr>
            <w:tcW w:w="4333"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62E1F8BB">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cstheme="minorEastAsia"/>
                <w:color w:val="auto"/>
                <w:sz w:val="21"/>
                <w:szCs w:val="21"/>
                <w:lang w:val="en-US" w:eastAsia="zh-CN"/>
              </w:rPr>
              <w:t>提供报名药店</w:t>
            </w:r>
            <w:r>
              <w:rPr>
                <w:rFonts w:hint="eastAsia" w:asciiTheme="minorEastAsia" w:hAnsiTheme="minorEastAsia" w:eastAsiaTheme="minorEastAsia" w:cstheme="minorEastAsia"/>
                <w:color w:val="auto"/>
                <w:sz w:val="21"/>
                <w:szCs w:val="21"/>
              </w:rPr>
              <w:t>三证</w:t>
            </w:r>
            <w:r>
              <w:rPr>
                <w:rFonts w:hint="eastAsia" w:asciiTheme="minorEastAsia" w:hAnsiTheme="minorEastAsia" w:cstheme="minorEastAsia"/>
                <w:color w:val="auto"/>
                <w:sz w:val="21"/>
                <w:szCs w:val="21"/>
                <w:lang w:val="en-US" w:eastAsia="zh-CN"/>
              </w:rPr>
              <w:t>：有效的《药品营业执照》、《药品经营许可证》和《互联网药品信息服务资格》。</w:t>
            </w:r>
          </w:p>
        </w:tc>
        <w:tc>
          <w:tcPr>
            <w:tcW w:w="2027" w:type="dxa"/>
            <w:tcBorders>
              <w:top w:val="single" w:color="auto" w:sz="4" w:space="0"/>
              <w:left w:val="single" w:color="000000" w:sz="8" w:space="0"/>
              <w:bottom w:val="single" w:color="000000" w:sz="8" w:space="0"/>
              <w:right w:val="single" w:color="auto" w:sz="4" w:space="0"/>
            </w:tcBorders>
            <w:vAlign w:val="center"/>
          </w:tcPr>
          <w:p w14:paraId="5BDA5478">
            <w:pPr>
              <w:spacing w:line="600" w:lineRule="exact"/>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审查资料完整性和符合性，</w:t>
            </w:r>
            <w:r>
              <w:rPr>
                <w:rFonts w:hint="eastAsia" w:asciiTheme="minorEastAsia" w:hAnsiTheme="minorEastAsia" w:eastAsiaTheme="minorEastAsia" w:cstheme="minorEastAsia"/>
                <w:color w:val="auto"/>
                <w:kern w:val="0"/>
                <w:szCs w:val="21"/>
                <w:lang w:bidi="ar"/>
              </w:rPr>
              <w:t>不可或缺项，缺项则不通过。</w:t>
            </w:r>
          </w:p>
        </w:tc>
        <w:tc>
          <w:tcPr>
            <w:tcW w:w="2280" w:type="dxa"/>
            <w:tcBorders>
              <w:top w:val="single" w:color="auto" w:sz="4" w:space="0"/>
              <w:left w:val="single" w:color="000000" w:sz="8" w:space="0"/>
              <w:bottom w:val="single" w:color="000000" w:sz="8" w:space="0"/>
              <w:right w:val="single" w:color="auto" w:sz="4" w:space="0"/>
            </w:tcBorders>
            <w:vAlign w:val="center"/>
          </w:tcPr>
          <w:p w14:paraId="139D280C">
            <w:pPr>
              <w:spacing w:line="6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 xml:space="preserve"> 不符合一票否决。</w:t>
            </w:r>
          </w:p>
        </w:tc>
        <w:tc>
          <w:tcPr>
            <w:tcW w:w="611" w:type="dxa"/>
            <w:tcBorders>
              <w:top w:val="single" w:color="auto" w:sz="4" w:space="0"/>
              <w:left w:val="single" w:color="auto" w:sz="4" w:space="0"/>
              <w:bottom w:val="single" w:color="000000" w:sz="8" w:space="0"/>
              <w:right w:val="single" w:color="auto" w:sz="4" w:space="0"/>
            </w:tcBorders>
          </w:tcPr>
          <w:p w14:paraId="2AF9B64A">
            <w:pPr>
              <w:spacing w:line="600" w:lineRule="exact"/>
              <w:jc w:val="center"/>
              <w:rPr>
                <w:rFonts w:hint="eastAsia" w:asciiTheme="minorEastAsia" w:hAnsiTheme="minorEastAsia" w:eastAsiaTheme="minorEastAsia" w:cstheme="minorEastAsia"/>
                <w:color w:val="auto"/>
                <w:sz w:val="21"/>
                <w:szCs w:val="21"/>
              </w:rPr>
            </w:pPr>
          </w:p>
        </w:tc>
      </w:tr>
      <w:tr w14:paraId="2B599114">
        <w:tblPrEx>
          <w:tblCellMar>
            <w:top w:w="0" w:type="dxa"/>
            <w:left w:w="0" w:type="dxa"/>
            <w:bottom w:w="0" w:type="dxa"/>
            <w:right w:w="0" w:type="dxa"/>
          </w:tblCellMar>
        </w:tblPrEx>
        <w:trPr>
          <w:trHeight w:val="1521" w:hRule="atLeast"/>
          <w:jc w:val="center"/>
        </w:trPr>
        <w:tc>
          <w:tcPr>
            <w:tcW w:w="1146" w:type="dxa"/>
            <w:vMerge w:val="continue"/>
            <w:tcBorders>
              <w:left w:val="single" w:color="auto" w:sz="4" w:space="0"/>
              <w:right w:val="single" w:color="000000" w:sz="8" w:space="0"/>
            </w:tcBorders>
            <w:vAlign w:val="center"/>
          </w:tcPr>
          <w:p w14:paraId="12E8EDE8">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0EC944C3">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cstheme="minorEastAsia"/>
                <w:color w:val="auto"/>
                <w:sz w:val="21"/>
                <w:szCs w:val="21"/>
                <w:lang w:val="en-US" w:eastAsia="zh-CN"/>
              </w:rPr>
              <w:t>药店必须诚实守法经营，2021年以来没有因为经营假劣药品而受到处罚，未被列入“信用中国”网站“失信被执行人”或“税收违法黑名单”名单；不处于“中国政府采购网公布”的“政府采购严重违法失信行为记录名单”中的禁止参加政府采购活动期间，（提供报名截止日期当天在“信用中国”网站（www.creditchina.gov.cn）及中国政府采购网（http://www.ccgp.gov.cn/）查询结果截图，如相关失信记录已失效，药店需提供相关证明资料）。</w:t>
            </w:r>
          </w:p>
        </w:tc>
        <w:tc>
          <w:tcPr>
            <w:tcW w:w="2027" w:type="dxa"/>
            <w:tcBorders>
              <w:top w:val="single" w:color="000000" w:sz="8" w:space="0"/>
              <w:left w:val="single" w:color="000000" w:sz="8" w:space="0"/>
              <w:bottom w:val="single" w:color="000000" w:sz="8" w:space="0"/>
              <w:right w:val="single" w:color="auto" w:sz="4" w:space="0"/>
            </w:tcBorders>
            <w:vAlign w:val="center"/>
          </w:tcPr>
          <w:p w14:paraId="5A6C5938">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审查资料完整性和符合性，</w:t>
            </w:r>
            <w:r>
              <w:rPr>
                <w:rFonts w:hint="eastAsia" w:asciiTheme="minorEastAsia" w:hAnsiTheme="minorEastAsia" w:eastAsiaTheme="minorEastAsia" w:cstheme="minorEastAsia"/>
                <w:color w:val="auto"/>
                <w:kern w:val="0"/>
                <w:szCs w:val="21"/>
                <w:lang w:bidi="ar"/>
              </w:rPr>
              <w:t>不可或缺项，缺项则不通过</w:t>
            </w:r>
            <w:r>
              <w:rPr>
                <w:rFonts w:hint="eastAsia" w:asciiTheme="minorEastAsia" w:hAnsiTheme="minorEastAsia" w:cstheme="minorEastAsia"/>
                <w:color w:val="auto"/>
                <w:sz w:val="21"/>
                <w:szCs w:val="21"/>
                <w:lang w:val="en-US" w:eastAsia="zh-CN"/>
              </w:rPr>
              <w:t>。</w:t>
            </w:r>
          </w:p>
        </w:tc>
        <w:tc>
          <w:tcPr>
            <w:tcW w:w="2280" w:type="dxa"/>
            <w:tcBorders>
              <w:top w:val="single" w:color="000000" w:sz="8" w:space="0"/>
              <w:left w:val="single" w:color="000000" w:sz="8" w:space="0"/>
              <w:bottom w:val="single" w:color="000000" w:sz="8" w:space="0"/>
              <w:right w:val="single" w:color="auto" w:sz="4" w:space="0"/>
            </w:tcBorders>
            <w:vAlign w:val="center"/>
          </w:tcPr>
          <w:p w14:paraId="06F6AF5F">
            <w:pPr>
              <w:spacing w:line="6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 xml:space="preserve"> 不符合一票否决。</w:t>
            </w:r>
          </w:p>
        </w:tc>
        <w:tc>
          <w:tcPr>
            <w:tcW w:w="611" w:type="dxa"/>
            <w:tcBorders>
              <w:top w:val="single" w:color="000000" w:sz="8" w:space="0"/>
              <w:left w:val="single" w:color="auto" w:sz="4" w:space="0"/>
              <w:bottom w:val="single" w:color="000000" w:sz="8" w:space="0"/>
              <w:right w:val="single" w:color="auto" w:sz="4" w:space="0"/>
            </w:tcBorders>
          </w:tcPr>
          <w:p w14:paraId="266E9DB9">
            <w:pPr>
              <w:spacing w:line="600" w:lineRule="exact"/>
              <w:jc w:val="center"/>
              <w:rPr>
                <w:rFonts w:hint="eastAsia" w:asciiTheme="minorEastAsia" w:hAnsiTheme="minorEastAsia" w:eastAsiaTheme="minorEastAsia" w:cstheme="minorEastAsia"/>
                <w:color w:val="auto"/>
                <w:sz w:val="21"/>
                <w:szCs w:val="21"/>
              </w:rPr>
            </w:pPr>
          </w:p>
        </w:tc>
      </w:tr>
      <w:tr w14:paraId="73D554BE">
        <w:tblPrEx>
          <w:tblCellMar>
            <w:top w:w="0" w:type="dxa"/>
            <w:left w:w="0" w:type="dxa"/>
            <w:bottom w:w="0" w:type="dxa"/>
            <w:right w:w="0" w:type="dxa"/>
          </w:tblCellMar>
        </w:tblPrEx>
        <w:trPr>
          <w:trHeight w:val="851" w:hRule="atLeast"/>
          <w:jc w:val="center"/>
        </w:trPr>
        <w:tc>
          <w:tcPr>
            <w:tcW w:w="1146" w:type="dxa"/>
            <w:vMerge w:val="continue"/>
            <w:tcBorders>
              <w:left w:val="single" w:color="auto" w:sz="4" w:space="0"/>
              <w:right w:val="single" w:color="000000" w:sz="8" w:space="0"/>
            </w:tcBorders>
            <w:vAlign w:val="center"/>
          </w:tcPr>
          <w:p w14:paraId="401C40E5">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139C0343">
            <w:pPr>
              <w:numPr>
                <w:ilvl w:val="0"/>
                <w:numId w:val="1"/>
              </w:num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报名药店近三年内在经营活动中没有重大违法记录、近三年度未发生安全责任事故，按附件2格式提供承诺函。</w:t>
            </w:r>
          </w:p>
        </w:tc>
        <w:tc>
          <w:tcPr>
            <w:tcW w:w="2027" w:type="dxa"/>
            <w:tcBorders>
              <w:top w:val="single" w:color="000000" w:sz="8" w:space="0"/>
              <w:left w:val="single" w:color="000000" w:sz="8" w:space="0"/>
              <w:bottom w:val="single" w:color="000000" w:sz="8" w:space="0"/>
              <w:right w:val="single" w:color="auto" w:sz="4" w:space="0"/>
            </w:tcBorders>
            <w:vAlign w:val="center"/>
          </w:tcPr>
          <w:p w14:paraId="42D0D03E">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审查资料完整性和符合性，</w:t>
            </w:r>
            <w:r>
              <w:rPr>
                <w:rFonts w:hint="eastAsia" w:asciiTheme="minorEastAsia" w:hAnsiTheme="minorEastAsia" w:eastAsiaTheme="minorEastAsia" w:cstheme="minorEastAsia"/>
                <w:color w:val="auto"/>
                <w:kern w:val="0"/>
                <w:szCs w:val="21"/>
                <w:lang w:bidi="ar"/>
              </w:rPr>
              <w:t>不可或缺项，缺项则不通过</w:t>
            </w:r>
            <w:r>
              <w:rPr>
                <w:rFonts w:hint="eastAsia" w:asciiTheme="minorEastAsia" w:hAnsiTheme="minorEastAsia" w:cstheme="minorEastAsia"/>
                <w:color w:val="auto"/>
                <w:sz w:val="21"/>
                <w:szCs w:val="21"/>
                <w:lang w:val="en-US" w:eastAsia="zh-CN"/>
              </w:rPr>
              <w:t>。</w:t>
            </w:r>
          </w:p>
        </w:tc>
        <w:tc>
          <w:tcPr>
            <w:tcW w:w="2280" w:type="dxa"/>
            <w:tcBorders>
              <w:top w:val="single" w:color="000000" w:sz="8" w:space="0"/>
              <w:left w:val="single" w:color="000000" w:sz="8" w:space="0"/>
              <w:bottom w:val="single" w:color="000000" w:sz="8" w:space="0"/>
              <w:right w:val="single" w:color="auto" w:sz="4" w:space="0"/>
            </w:tcBorders>
            <w:vAlign w:val="center"/>
          </w:tcPr>
          <w:p w14:paraId="12B9CB80">
            <w:pPr>
              <w:spacing w:line="6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 xml:space="preserve"> 不符合一票否决。</w:t>
            </w:r>
          </w:p>
        </w:tc>
        <w:tc>
          <w:tcPr>
            <w:tcW w:w="611" w:type="dxa"/>
            <w:tcBorders>
              <w:top w:val="single" w:color="000000" w:sz="8" w:space="0"/>
              <w:left w:val="single" w:color="auto" w:sz="4" w:space="0"/>
              <w:bottom w:val="single" w:color="000000" w:sz="8" w:space="0"/>
              <w:right w:val="single" w:color="auto" w:sz="4" w:space="0"/>
            </w:tcBorders>
          </w:tcPr>
          <w:p w14:paraId="5DDE53F9">
            <w:pPr>
              <w:spacing w:line="600" w:lineRule="exact"/>
              <w:jc w:val="center"/>
              <w:rPr>
                <w:rFonts w:hint="eastAsia" w:asciiTheme="minorEastAsia" w:hAnsiTheme="minorEastAsia" w:eastAsiaTheme="minorEastAsia" w:cstheme="minorEastAsia"/>
                <w:color w:val="auto"/>
                <w:sz w:val="21"/>
                <w:szCs w:val="21"/>
              </w:rPr>
            </w:pPr>
          </w:p>
        </w:tc>
      </w:tr>
      <w:tr w14:paraId="38777F23">
        <w:tblPrEx>
          <w:tblCellMar>
            <w:top w:w="0" w:type="dxa"/>
            <w:left w:w="0" w:type="dxa"/>
            <w:bottom w:w="0" w:type="dxa"/>
            <w:right w:w="0" w:type="dxa"/>
          </w:tblCellMar>
        </w:tblPrEx>
        <w:trPr>
          <w:trHeight w:val="1847" w:hRule="atLeast"/>
          <w:jc w:val="center"/>
        </w:trPr>
        <w:tc>
          <w:tcPr>
            <w:tcW w:w="1146" w:type="dxa"/>
            <w:vMerge w:val="restart"/>
            <w:tcBorders>
              <w:top w:val="single" w:color="auto" w:sz="4" w:space="0"/>
              <w:left w:val="single" w:color="000000" w:sz="8" w:space="0"/>
              <w:right w:val="single" w:color="000000" w:sz="8" w:space="0"/>
            </w:tcBorders>
            <w:vAlign w:val="center"/>
          </w:tcPr>
          <w:p w14:paraId="40D1340D">
            <w:pPr>
              <w:numPr>
                <w:ilvl w:val="0"/>
                <w:numId w:val="2"/>
              </w:numPr>
              <w:spacing w:line="6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lang w:val="en-US" w:eastAsia="zh-CN"/>
              </w:rPr>
              <w:t>供应商</w:t>
            </w:r>
            <w:r>
              <w:rPr>
                <w:rFonts w:hint="eastAsia" w:asciiTheme="minorEastAsia" w:hAnsiTheme="minorEastAsia" w:cstheme="minorEastAsia"/>
                <w:b/>
                <w:bCs/>
                <w:color w:val="auto"/>
                <w:sz w:val="21"/>
                <w:szCs w:val="21"/>
                <w:lang w:val="en-US" w:eastAsia="zh-CN"/>
              </w:rPr>
              <w:t>质量管理配备</w:t>
            </w:r>
            <w:r>
              <w:rPr>
                <w:rFonts w:hint="eastAsia" w:asciiTheme="minorEastAsia" w:hAnsiTheme="minorEastAsia" w:eastAsiaTheme="minorEastAsia" w:cstheme="minorEastAsia"/>
                <w:b/>
                <w:bCs/>
                <w:color w:val="auto"/>
                <w:sz w:val="21"/>
                <w:szCs w:val="21"/>
                <w:lang w:val="en-US" w:eastAsia="zh-CN"/>
              </w:rPr>
              <w:t>（</w:t>
            </w:r>
            <w:r>
              <w:rPr>
                <w:rFonts w:hint="eastAsia" w:asciiTheme="minorEastAsia" w:hAnsiTheme="minorEastAsia" w:cstheme="minorEastAsia"/>
                <w:b/>
                <w:bCs/>
                <w:color w:val="auto"/>
                <w:sz w:val="21"/>
                <w:szCs w:val="21"/>
                <w:lang w:val="en-US" w:eastAsia="zh-CN"/>
              </w:rPr>
              <w:t>100分</w:t>
            </w:r>
            <w:r>
              <w:rPr>
                <w:rFonts w:hint="eastAsia" w:asciiTheme="minorEastAsia" w:hAnsiTheme="minorEastAsia" w:eastAsiaTheme="minorEastAsia" w:cstheme="minorEastAsia"/>
                <w:b/>
                <w:bCs/>
                <w:color w:val="auto"/>
                <w:sz w:val="21"/>
                <w:szCs w:val="21"/>
                <w:lang w:val="en-US" w:eastAsia="zh-CN"/>
              </w:rPr>
              <w:t>）</w:t>
            </w:r>
          </w:p>
        </w:tc>
        <w:tc>
          <w:tcPr>
            <w:tcW w:w="4333"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7C09D099">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Cs w:val="21"/>
                <w:lang w:val="en-US" w:eastAsia="zh-CN" w:bidi="ar"/>
              </w:rPr>
              <w:t>1.</w:t>
            </w:r>
            <w:r>
              <w:rPr>
                <w:rFonts w:hint="eastAsia" w:asciiTheme="minorEastAsia" w:hAnsiTheme="minorEastAsia" w:eastAsiaTheme="minorEastAsia" w:cstheme="minorEastAsia"/>
                <w:color w:val="auto"/>
                <w:kern w:val="0"/>
                <w:szCs w:val="21"/>
                <w:lang w:bidi="ar"/>
              </w:rPr>
              <w:t>具备可联网接入全省电子处方流转中心的软、硬件条件，能确保在国家医疗保障信息平台“一站式”结算，并能正确反映规定药品“进、销、存”情况。</w:t>
            </w:r>
          </w:p>
        </w:tc>
        <w:tc>
          <w:tcPr>
            <w:tcW w:w="2027" w:type="dxa"/>
            <w:tcBorders>
              <w:top w:val="single" w:color="auto" w:sz="4" w:space="0"/>
              <w:left w:val="single" w:color="000000" w:sz="8" w:space="0"/>
              <w:bottom w:val="single" w:color="000000" w:sz="8" w:space="0"/>
              <w:right w:val="single" w:color="auto" w:sz="4" w:space="0"/>
            </w:tcBorders>
            <w:shd w:val="clear" w:color="auto" w:fill="auto"/>
            <w:vAlign w:val="center"/>
          </w:tcPr>
          <w:p w14:paraId="4899D896">
            <w:pPr>
              <w:spacing w:line="600" w:lineRule="exact"/>
              <w:jc w:val="left"/>
              <w:rPr>
                <w:rFonts w:hint="default" w:asciiTheme="minorEastAsia" w:hAnsiTheme="minorEastAsia" w:cstheme="minorEastAsia"/>
                <w:color w:val="auto"/>
                <w:kern w:val="0"/>
                <w:szCs w:val="21"/>
                <w:lang w:val="en-US" w:eastAsia="zh-CN" w:bidi="ar"/>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kern w:val="0"/>
                <w:szCs w:val="21"/>
                <w:lang w:val="en-US" w:eastAsia="zh-CN" w:bidi="ar"/>
              </w:rPr>
              <w:t>现场勘查是否流畅操作其软硬件一站式结算可及性。</w:t>
            </w:r>
          </w:p>
        </w:tc>
        <w:tc>
          <w:tcPr>
            <w:tcW w:w="2280" w:type="dxa"/>
            <w:tcBorders>
              <w:top w:val="single" w:color="auto" w:sz="4" w:space="0"/>
              <w:left w:val="single" w:color="000000" w:sz="8" w:space="0"/>
              <w:bottom w:val="single" w:color="000000" w:sz="8" w:space="0"/>
              <w:right w:val="single" w:color="auto" w:sz="4" w:space="0"/>
            </w:tcBorders>
            <w:shd w:val="clear" w:color="auto" w:fill="auto"/>
            <w:vAlign w:val="center"/>
          </w:tcPr>
          <w:p w14:paraId="0284855B">
            <w:pPr>
              <w:spacing w:line="6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现场评分具备赋分15分，不符合为0</w:t>
            </w:r>
          </w:p>
        </w:tc>
        <w:tc>
          <w:tcPr>
            <w:tcW w:w="611" w:type="dxa"/>
            <w:tcBorders>
              <w:top w:val="single" w:color="auto" w:sz="4" w:space="0"/>
              <w:left w:val="single" w:color="auto" w:sz="4" w:space="0"/>
              <w:bottom w:val="single" w:color="000000" w:sz="8" w:space="0"/>
              <w:right w:val="single" w:color="000000" w:sz="8" w:space="0"/>
            </w:tcBorders>
          </w:tcPr>
          <w:p w14:paraId="4ADC7577">
            <w:pPr>
              <w:spacing w:line="600" w:lineRule="exact"/>
              <w:jc w:val="center"/>
              <w:rPr>
                <w:rFonts w:hint="eastAsia" w:asciiTheme="minorEastAsia" w:hAnsiTheme="minorEastAsia" w:eastAsiaTheme="minorEastAsia" w:cstheme="minorEastAsia"/>
                <w:color w:val="auto"/>
                <w:sz w:val="21"/>
                <w:szCs w:val="21"/>
              </w:rPr>
            </w:pPr>
          </w:p>
        </w:tc>
      </w:tr>
      <w:tr w14:paraId="5BA833C5">
        <w:tblPrEx>
          <w:tblCellMar>
            <w:top w:w="0" w:type="dxa"/>
            <w:left w:w="0" w:type="dxa"/>
            <w:bottom w:w="0" w:type="dxa"/>
            <w:right w:w="0" w:type="dxa"/>
          </w:tblCellMar>
        </w:tblPrEx>
        <w:trPr>
          <w:trHeight w:val="1521" w:hRule="atLeast"/>
          <w:jc w:val="center"/>
        </w:trPr>
        <w:tc>
          <w:tcPr>
            <w:tcW w:w="1146" w:type="dxa"/>
            <w:vMerge w:val="continue"/>
            <w:tcBorders>
              <w:left w:val="single" w:color="000000" w:sz="8" w:space="0"/>
              <w:right w:val="single" w:color="000000" w:sz="8" w:space="0"/>
            </w:tcBorders>
            <w:vAlign w:val="center"/>
          </w:tcPr>
          <w:p w14:paraId="5811DA50">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2D9FDFBA">
            <w:pPr>
              <w:spacing w:line="600" w:lineRule="exact"/>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kern w:val="0"/>
                <w:szCs w:val="21"/>
                <w:lang w:bidi="ar"/>
              </w:rPr>
              <w:t>具备药学服务信息系统，包括药品信息管理功能和患者信息管理功能。</w:t>
            </w:r>
            <w:r>
              <w:rPr>
                <w:rFonts w:hint="eastAsia" w:asciiTheme="minorEastAsia" w:hAnsiTheme="minorEastAsia" w:cstheme="minorEastAsia"/>
                <w:color w:val="auto"/>
                <w:kern w:val="0"/>
                <w:szCs w:val="21"/>
                <w:lang w:val="en-US" w:eastAsia="zh-CN" w:bidi="ar"/>
              </w:rPr>
              <w:t>能</w:t>
            </w:r>
            <w:r>
              <w:rPr>
                <w:rFonts w:hint="eastAsia" w:asciiTheme="minorEastAsia" w:hAnsiTheme="minorEastAsia" w:eastAsiaTheme="minorEastAsia" w:cstheme="minorEastAsia"/>
                <w:color w:val="auto"/>
                <w:kern w:val="0"/>
                <w:szCs w:val="21"/>
                <w:lang w:bidi="ar"/>
              </w:rPr>
              <w:t>实现电子追溯等条件。</w:t>
            </w:r>
          </w:p>
        </w:tc>
        <w:tc>
          <w:tcPr>
            <w:tcW w:w="2027" w:type="dxa"/>
            <w:tcBorders>
              <w:top w:val="single" w:color="000000" w:sz="8" w:space="0"/>
              <w:left w:val="single" w:color="000000" w:sz="8" w:space="0"/>
              <w:bottom w:val="single" w:color="000000" w:sz="8" w:space="0"/>
              <w:right w:val="single" w:color="auto" w:sz="4" w:space="0"/>
            </w:tcBorders>
            <w:shd w:val="clear" w:color="auto" w:fill="auto"/>
            <w:vAlign w:val="center"/>
          </w:tcPr>
          <w:p w14:paraId="53946937">
            <w:pPr>
              <w:spacing w:line="600" w:lineRule="exac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kern w:val="0"/>
                <w:szCs w:val="21"/>
                <w:lang w:val="en-US" w:eastAsia="zh-CN" w:bidi="ar"/>
              </w:rPr>
              <w:t>现场勘查是否流畅操作其系统。</w:t>
            </w:r>
          </w:p>
        </w:tc>
        <w:tc>
          <w:tcPr>
            <w:tcW w:w="2280" w:type="dxa"/>
            <w:tcBorders>
              <w:top w:val="single" w:color="000000" w:sz="8" w:space="0"/>
              <w:left w:val="single" w:color="000000" w:sz="8" w:space="0"/>
              <w:bottom w:val="single" w:color="000000" w:sz="8" w:space="0"/>
              <w:right w:val="single" w:color="auto" w:sz="4" w:space="0"/>
            </w:tcBorders>
            <w:shd w:val="clear" w:color="auto" w:fill="auto"/>
            <w:vAlign w:val="center"/>
          </w:tcPr>
          <w:p w14:paraId="111D22FD">
            <w:pPr>
              <w:spacing w:line="6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现场评分具备赋分15分，不符合为0</w:t>
            </w:r>
          </w:p>
        </w:tc>
        <w:tc>
          <w:tcPr>
            <w:tcW w:w="611" w:type="dxa"/>
            <w:tcBorders>
              <w:top w:val="single" w:color="000000" w:sz="8" w:space="0"/>
              <w:left w:val="single" w:color="auto" w:sz="4" w:space="0"/>
              <w:bottom w:val="single" w:color="000000" w:sz="8" w:space="0"/>
              <w:right w:val="single" w:color="000000" w:sz="8" w:space="0"/>
            </w:tcBorders>
          </w:tcPr>
          <w:p w14:paraId="7DC69423">
            <w:pPr>
              <w:spacing w:line="600" w:lineRule="exact"/>
              <w:jc w:val="center"/>
              <w:rPr>
                <w:rFonts w:hint="eastAsia" w:asciiTheme="minorEastAsia" w:hAnsiTheme="minorEastAsia" w:eastAsiaTheme="minorEastAsia" w:cstheme="minorEastAsia"/>
                <w:color w:val="auto"/>
                <w:sz w:val="21"/>
                <w:szCs w:val="21"/>
              </w:rPr>
            </w:pPr>
          </w:p>
        </w:tc>
      </w:tr>
      <w:tr w14:paraId="19E03B59">
        <w:tblPrEx>
          <w:tblCellMar>
            <w:top w:w="0" w:type="dxa"/>
            <w:left w:w="0" w:type="dxa"/>
            <w:bottom w:w="0" w:type="dxa"/>
            <w:right w:w="0" w:type="dxa"/>
          </w:tblCellMar>
        </w:tblPrEx>
        <w:trPr>
          <w:trHeight w:val="1521" w:hRule="atLeast"/>
          <w:jc w:val="center"/>
        </w:trPr>
        <w:tc>
          <w:tcPr>
            <w:tcW w:w="1146" w:type="dxa"/>
            <w:vMerge w:val="continue"/>
            <w:tcBorders>
              <w:left w:val="single" w:color="000000" w:sz="8" w:space="0"/>
              <w:right w:val="single" w:color="000000" w:sz="8" w:space="0"/>
            </w:tcBorders>
            <w:vAlign w:val="center"/>
          </w:tcPr>
          <w:p w14:paraId="0C7DE6EB">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7F8878AB">
            <w:pPr>
              <w:spacing w:line="600" w:lineRule="exact"/>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kern w:val="0"/>
                <w:szCs w:val="21"/>
                <w:lang w:bidi="ar"/>
              </w:rPr>
              <w:t>经销场所具备符合冷链要求的储存区域设备及配送设备。</w:t>
            </w:r>
          </w:p>
        </w:tc>
        <w:tc>
          <w:tcPr>
            <w:tcW w:w="2027" w:type="dxa"/>
            <w:tcBorders>
              <w:top w:val="single" w:color="000000" w:sz="8" w:space="0"/>
              <w:left w:val="single" w:color="000000" w:sz="8" w:space="0"/>
              <w:bottom w:val="single" w:color="000000" w:sz="8" w:space="0"/>
              <w:right w:val="single" w:color="auto" w:sz="4" w:space="0"/>
            </w:tcBorders>
            <w:shd w:val="clear" w:color="auto" w:fill="auto"/>
            <w:vAlign w:val="center"/>
          </w:tcPr>
          <w:p w14:paraId="7B16E622">
            <w:pPr>
              <w:spacing w:line="600" w:lineRule="exact"/>
              <w:jc w:val="left"/>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sz w:val="21"/>
                <w:szCs w:val="21"/>
                <w:lang w:val="en-US" w:eastAsia="zh-CN"/>
              </w:rPr>
              <w:t>现场勘查其设备是否正常运行。</w:t>
            </w:r>
          </w:p>
        </w:tc>
        <w:tc>
          <w:tcPr>
            <w:tcW w:w="2280" w:type="dxa"/>
            <w:tcBorders>
              <w:top w:val="single" w:color="000000" w:sz="8" w:space="0"/>
              <w:left w:val="single" w:color="000000" w:sz="8" w:space="0"/>
              <w:bottom w:val="single" w:color="000000" w:sz="8" w:space="0"/>
              <w:right w:val="single" w:color="auto" w:sz="4" w:space="0"/>
            </w:tcBorders>
            <w:shd w:val="clear" w:color="auto" w:fill="auto"/>
            <w:vAlign w:val="center"/>
          </w:tcPr>
          <w:p w14:paraId="71D9A5F8">
            <w:pPr>
              <w:spacing w:line="6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 xml:space="preserve"> 现场评分具备赋分10分，不符合为0</w:t>
            </w:r>
          </w:p>
        </w:tc>
        <w:tc>
          <w:tcPr>
            <w:tcW w:w="611" w:type="dxa"/>
            <w:tcBorders>
              <w:top w:val="single" w:color="000000" w:sz="8" w:space="0"/>
              <w:left w:val="single" w:color="auto" w:sz="4" w:space="0"/>
              <w:bottom w:val="single" w:color="000000" w:sz="8" w:space="0"/>
              <w:right w:val="single" w:color="000000" w:sz="8" w:space="0"/>
            </w:tcBorders>
          </w:tcPr>
          <w:p w14:paraId="67D69C89">
            <w:pPr>
              <w:spacing w:line="600" w:lineRule="exact"/>
              <w:jc w:val="center"/>
              <w:rPr>
                <w:rFonts w:hint="eastAsia" w:asciiTheme="minorEastAsia" w:hAnsiTheme="minorEastAsia" w:eastAsiaTheme="minorEastAsia" w:cstheme="minorEastAsia"/>
                <w:color w:val="auto"/>
                <w:sz w:val="21"/>
                <w:szCs w:val="21"/>
              </w:rPr>
            </w:pPr>
          </w:p>
        </w:tc>
      </w:tr>
      <w:tr w14:paraId="11C79802">
        <w:tblPrEx>
          <w:tblCellMar>
            <w:top w:w="0" w:type="dxa"/>
            <w:left w:w="0" w:type="dxa"/>
            <w:bottom w:w="0" w:type="dxa"/>
            <w:right w:w="0" w:type="dxa"/>
          </w:tblCellMar>
        </w:tblPrEx>
        <w:trPr>
          <w:trHeight w:val="1521" w:hRule="atLeast"/>
          <w:jc w:val="center"/>
        </w:trPr>
        <w:tc>
          <w:tcPr>
            <w:tcW w:w="1146" w:type="dxa"/>
            <w:vMerge w:val="continue"/>
            <w:tcBorders>
              <w:left w:val="single" w:color="000000" w:sz="8" w:space="0"/>
              <w:right w:val="single" w:color="000000" w:sz="8" w:space="0"/>
            </w:tcBorders>
            <w:vAlign w:val="center"/>
          </w:tcPr>
          <w:p w14:paraId="397660D8">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40BEC2E3">
            <w:pPr>
              <w:spacing w:line="600" w:lineRule="exact"/>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kern w:val="0"/>
                <w:szCs w:val="21"/>
                <w:lang w:bidi="ar"/>
              </w:rPr>
              <w:t>经营场所应配备</w:t>
            </w:r>
            <w:r>
              <w:rPr>
                <w:rFonts w:hint="eastAsia" w:asciiTheme="minorEastAsia" w:hAnsiTheme="minorEastAsia" w:cstheme="minorEastAsia"/>
                <w:color w:val="auto"/>
                <w:kern w:val="0"/>
                <w:szCs w:val="21"/>
                <w:lang w:val="en-US" w:eastAsia="zh-CN" w:bidi="ar"/>
              </w:rPr>
              <w:t>1名以上</w:t>
            </w:r>
            <w:r>
              <w:rPr>
                <w:rFonts w:hint="eastAsia" w:asciiTheme="minorEastAsia" w:hAnsiTheme="minorEastAsia" w:eastAsiaTheme="minorEastAsia" w:cstheme="minorEastAsia"/>
                <w:color w:val="auto"/>
                <w:kern w:val="0"/>
                <w:szCs w:val="21"/>
                <w:lang w:bidi="ar"/>
              </w:rPr>
              <w:t>执业药师并在岗提供药事服务。需提供药师在药店或连锁总部（或集团总部）的</w:t>
            </w:r>
            <w:r>
              <w:rPr>
                <w:rFonts w:hint="eastAsia" w:asciiTheme="minorEastAsia" w:hAnsiTheme="minorEastAsia" w:cstheme="minorEastAsia"/>
                <w:color w:val="auto"/>
                <w:kern w:val="0"/>
                <w:szCs w:val="21"/>
                <w:lang w:bidi="ar"/>
              </w:rPr>
              <w:t>社会保险参保缴费证明</w:t>
            </w:r>
            <w:r>
              <w:rPr>
                <w:rFonts w:hint="eastAsia" w:asciiTheme="minorEastAsia" w:hAnsiTheme="minorEastAsia" w:eastAsiaTheme="minorEastAsia" w:cstheme="minorEastAsia"/>
                <w:color w:val="auto"/>
                <w:kern w:val="0"/>
                <w:szCs w:val="21"/>
                <w:lang w:bidi="ar"/>
              </w:rPr>
              <w:t>原件。至少</w:t>
            </w:r>
            <w:r>
              <w:rPr>
                <w:rFonts w:hint="eastAsia" w:asciiTheme="minorEastAsia" w:hAnsiTheme="minorEastAsia" w:cstheme="minorEastAsia"/>
                <w:color w:val="auto"/>
                <w:kern w:val="0"/>
                <w:szCs w:val="21"/>
                <w:lang w:val="en-US" w:eastAsia="zh-CN" w:bidi="ar"/>
              </w:rPr>
              <w:t>1</w:t>
            </w:r>
            <w:r>
              <w:rPr>
                <w:rFonts w:hint="eastAsia" w:asciiTheme="minorEastAsia" w:hAnsiTheme="minorEastAsia" w:eastAsiaTheme="minorEastAsia" w:cstheme="minorEastAsia"/>
                <w:color w:val="auto"/>
                <w:kern w:val="0"/>
                <w:szCs w:val="21"/>
                <w:lang w:bidi="ar"/>
              </w:rPr>
              <w:t>名在</w:t>
            </w:r>
            <w:r>
              <w:rPr>
                <w:rFonts w:hint="eastAsia" w:asciiTheme="minorEastAsia" w:hAnsiTheme="minorEastAsia" w:cstheme="minorEastAsia"/>
                <w:color w:val="auto"/>
                <w:kern w:val="0"/>
                <w:szCs w:val="21"/>
                <w:lang w:bidi="ar"/>
              </w:rPr>
              <w:t>该店实际工作的</w:t>
            </w:r>
            <w:r>
              <w:rPr>
                <w:rFonts w:hint="eastAsia" w:asciiTheme="minorEastAsia" w:hAnsiTheme="minorEastAsia" w:eastAsiaTheme="minorEastAsia" w:cstheme="minorEastAsia"/>
                <w:color w:val="auto"/>
                <w:kern w:val="0"/>
                <w:szCs w:val="21"/>
                <w:lang w:bidi="ar"/>
              </w:rPr>
              <w:t>执业药师，参保缴费至少3个月。</w:t>
            </w:r>
          </w:p>
        </w:tc>
        <w:tc>
          <w:tcPr>
            <w:tcW w:w="2027" w:type="dxa"/>
            <w:tcBorders>
              <w:top w:val="single" w:color="000000" w:sz="8" w:space="0"/>
              <w:left w:val="single" w:color="000000" w:sz="8" w:space="0"/>
              <w:bottom w:val="single" w:color="000000" w:sz="8" w:space="0"/>
              <w:right w:val="single" w:color="auto" w:sz="4" w:space="0"/>
            </w:tcBorders>
            <w:shd w:val="clear" w:color="auto" w:fill="auto"/>
            <w:vAlign w:val="center"/>
          </w:tcPr>
          <w:p w14:paraId="3F35C818">
            <w:pPr>
              <w:spacing w:line="600" w:lineRule="exact"/>
              <w:jc w:val="left"/>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sz w:val="21"/>
                <w:szCs w:val="21"/>
                <w:lang w:val="en-US" w:eastAsia="zh-CN"/>
              </w:rPr>
              <w:t>现场勘查执业药师证件与人员的在岗情况。</w:t>
            </w:r>
          </w:p>
        </w:tc>
        <w:tc>
          <w:tcPr>
            <w:tcW w:w="2280" w:type="dxa"/>
            <w:tcBorders>
              <w:top w:val="single" w:color="000000" w:sz="8" w:space="0"/>
              <w:left w:val="single" w:color="000000" w:sz="8" w:space="0"/>
              <w:bottom w:val="single" w:color="000000" w:sz="8" w:space="0"/>
              <w:right w:val="single" w:color="auto" w:sz="4" w:space="0"/>
            </w:tcBorders>
            <w:shd w:val="clear" w:color="auto" w:fill="auto"/>
            <w:vAlign w:val="center"/>
          </w:tcPr>
          <w:p w14:paraId="6BD91193">
            <w:pPr>
              <w:spacing w:line="6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 xml:space="preserve"> 现场评分具备赋分10分，不符合为0</w:t>
            </w:r>
          </w:p>
        </w:tc>
        <w:tc>
          <w:tcPr>
            <w:tcW w:w="611" w:type="dxa"/>
            <w:tcBorders>
              <w:top w:val="single" w:color="000000" w:sz="8" w:space="0"/>
              <w:left w:val="single" w:color="auto" w:sz="4" w:space="0"/>
              <w:bottom w:val="single" w:color="000000" w:sz="8" w:space="0"/>
              <w:right w:val="single" w:color="000000" w:sz="8" w:space="0"/>
            </w:tcBorders>
          </w:tcPr>
          <w:p w14:paraId="545051E8">
            <w:pPr>
              <w:spacing w:line="600" w:lineRule="exact"/>
              <w:jc w:val="center"/>
              <w:rPr>
                <w:rFonts w:hint="eastAsia" w:asciiTheme="minorEastAsia" w:hAnsiTheme="minorEastAsia" w:eastAsiaTheme="minorEastAsia" w:cstheme="minorEastAsia"/>
                <w:color w:val="auto"/>
                <w:sz w:val="21"/>
                <w:szCs w:val="21"/>
              </w:rPr>
            </w:pPr>
          </w:p>
        </w:tc>
      </w:tr>
      <w:tr w14:paraId="63A56AD8">
        <w:tblPrEx>
          <w:tblCellMar>
            <w:top w:w="0" w:type="dxa"/>
            <w:left w:w="0" w:type="dxa"/>
            <w:bottom w:w="0" w:type="dxa"/>
            <w:right w:w="0" w:type="dxa"/>
          </w:tblCellMar>
        </w:tblPrEx>
        <w:trPr>
          <w:trHeight w:val="1866" w:hRule="atLeast"/>
          <w:jc w:val="center"/>
        </w:trPr>
        <w:tc>
          <w:tcPr>
            <w:tcW w:w="1146" w:type="dxa"/>
            <w:vMerge w:val="continue"/>
            <w:tcBorders>
              <w:left w:val="single" w:color="000000" w:sz="8" w:space="0"/>
              <w:right w:val="single" w:color="000000" w:sz="8" w:space="0"/>
            </w:tcBorders>
            <w:vAlign w:val="center"/>
          </w:tcPr>
          <w:p w14:paraId="77A5CC25">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6B88ED2E">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Cs w:val="21"/>
                <w:lang w:val="en-US" w:eastAsia="zh-CN"/>
              </w:rPr>
              <w:t>5.</w:t>
            </w:r>
            <w:r>
              <w:rPr>
                <w:rFonts w:hint="eastAsia" w:asciiTheme="minorEastAsia" w:hAnsiTheme="minorEastAsia" w:eastAsiaTheme="minorEastAsia" w:cstheme="minorEastAsia"/>
                <w:color w:val="auto"/>
                <w:szCs w:val="21"/>
              </w:rPr>
              <w:t>经营面积符合国家和我省有关管理规范，有相对独立的处方服务专区和拆零药品销售专区，能满足药品拆零、处方外配及群众取药需求。</w:t>
            </w:r>
          </w:p>
        </w:tc>
        <w:tc>
          <w:tcPr>
            <w:tcW w:w="2027" w:type="dxa"/>
            <w:tcBorders>
              <w:top w:val="single" w:color="000000" w:sz="8" w:space="0"/>
              <w:left w:val="single" w:color="000000" w:sz="8" w:space="0"/>
              <w:bottom w:val="single" w:color="000000" w:sz="8" w:space="0"/>
              <w:right w:val="single" w:color="auto" w:sz="4" w:space="0"/>
            </w:tcBorders>
            <w:shd w:val="clear" w:color="auto" w:fill="auto"/>
            <w:vAlign w:val="center"/>
          </w:tcPr>
          <w:p w14:paraId="314A936F">
            <w:pPr>
              <w:spacing w:line="600" w:lineRule="exact"/>
              <w:jc w:val="left"/>
              <w:rPr>
                <w:rFonts w:hint="default" w:asciiTheme="minorEastAsia" w:hAnsiTheme="minorEastAsia" w:cstheme="minorEastAsia"/>
                <w:color w:val="auto"/>
                <w:szCs w:val="21"/>
                <w:lang w:val="en-US" w:eastAsia="zh-CN"/>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szCs w:val="21"/>
                <w:lang w:val="en-US" w:eastAsia="zh-CN"/>
              </w:rPr>
              <w:t>现场勘查配方专区。</w:t>
            </w:r>
          </w:p>
        </w:tc>
        <w:tc>
          <w:tcPr>
            <w:tcW w:w="2280" w:type="dxa"/>
            <w:tcBorders>
              <w:top w:val="single" w:color="000000" w:sz="8" w:space="0"/>
              <w:left w:val="single" w:color="000000" w:sz="8" w:space="0"/>
              <w:bottom w:val="single" w:color="000000" w:sz="8" w:space="0"/>
              <w:right w:val="single" w:color="auto" w:sz="4" w:space="0"/>
            </w:tcBorders>
            <w:shd w:val="clear" w:color="auto" w:fill="auto"/>
            <w:vAlign w:val="center"/>
          </w:tcPr>
          <w:p w14:paraId="631C5522">
            <w:pPr>
              <w:spacing w:line="6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 xml:space="preserve"> 现场评分具备赋分10分，不符合为0</w:t>
            </w:r>
          </w:p>
        </w:tc>
        <w:tc>
          <w:tcPr>
            <w:tcW w:w="611" w:type="dxa"/>
            <w:tcBorders>
              <w:top w:val="single" w:color="000000" w:sz="8" w:space="0"/>
              <w:left w:val="single" w:color="auto" w:sz="4" w:space="0"/>
              <w:bottom w:val="single" w:color="000000" w:sz="8" w:space="0"/>
              <w:right w:val="single" w:color="000000" w:sz="8" w:space="0"/>
            </w:tcBorders>
          </w:tcPr>
          <w:p w14:paraId="76446E43">
            <w:pPr>
              <w:spacing w:line="600" w:lineRule="exact"/>
              <w:jc w:val="center"/>
              <w:rPr>
                <w:rFonts w:hint="eastAsia" w:asciiTheme="minorEastAsia" w:hAnsiTheme="minorEastAsia" w:eastAsiaTheme="minorEastAsia" w:cstheme="minorEastAsia"/>
                <w:color w:val="auto"/>
                <w:sz w:val="21"/>
                <w:szCs w:val="21"/>
              </w:rPr>
            </w:pPr>
          </w:p>
        </w:tc>
      </w:tr>
      <w:tr w14:paraId="54E92D6A">
        <w:tblPrEx>
          <w:tblCellMar>
            <w:top w:w="0" w:type="dxa"/>
            <w:left w:w="0" w:type="dxa"/>
            <w:bottom w:w="0" w:type="dxa"/>
            <w:right w:w="0" w:type="dxa"/>
          </w:tblCellMar>
        </w:tblPrEx>
        <w:trPr>
          <w:trHeight w:val="1521" w:hRule="atLeast"/>
          <w:jc w:val="center"/>
        </w:trPr>
        <w:tc>
          <w:tcPr>
            <w:tcW w:w="1146" w:type="dxa"/>
            <w:vMerge w:val="continue"/>
            <w:tcBorders>
              <w:left w:val="single" w:color="000000" w:sz="8" w:space="0"/>
              <w:right w:val="single" w:color="000000" w:sz="8" w:space="0"/>
            </w:tcBorders>
            <w:vAlign w:val="center"/>
          </w:tcPr>
          <w:p w14:paraId="7943436D">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5409E668">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Cs w:val="21"/>
                <w:lang w:val="en-US" w:eastAsia="zh-CN"/>
              </w:rPr>
              <w:t>6.</w:t>
            </w:r>
            <w:r>
              <w:rPr>
                <w:rFonts w:hint="eastAsia" w:asciiTheme="minorEastAsia" w:hAnsiTheme="minorEastAsia" w:eastAsiaTheme="minorEastAsia" w:cstheme="minorEastAsia"/>
                <w:color w:val="auto"/>
                <w:szCs w:val="21"/>
              </w:rPr>
              <w:t>配备相应的防尘、防潮、防虫、防鼠、避光、通风等设施设备</w:t>
            </w:r>
            <w:r>
              <w:rPr>
                <w:rFonts w:hint="eastAsia" w:asciiTheme="minorEastAsia" w:hAnsiTheme="minorEastAsia" w:cstheme="minorEastAsia"/>
                <w:color w:val="auto"/>
                <w:szCs w:val="21"/>
              </w:rPr>
              <w:t>并能正常使用</w:t>
            </w:r>
            <w:r>
              <w:rPr>
                <w:rFonts w:hint="eastAsia" w:asciiTheme="minorEastAsia" w:hAnsiTheme="minorEastAsia" w:eastAsiaTheme="minorEastAsia" w:cstheme="minorEastAsia"/>
                <w:color w:val="auto"/>
                <w:szCs w:val="21"/>
              </w:rPr>
              <w:t>。</w:t>
            </w:r>
          </w:p>
        </w:tc>
        <w:tc>
          <w:tcPr>
            <w:tcW w:w="2027" w:type="dxa"/>
            <w:tcBorders>
              <w:top w:val="single" w:color="000000" w:sz="8" w:space="0"/>
              <w:left w:val="single" w:color="000000" w:sz="8" w:space="0"/>
              <w:bottom w:val="single" w:color="000000" w:sz="8" w:space="0"/>
              <w:right w:val="single" w:color="auto" w:sz="4" w:space="0"/>
            </w:tcBorders>
            <w:shd w:val="clear" w:color="auto" w:fill="auto"/>
            <w:vAlign w:val="center"/>
          </w:tcPr>
          <w:p w14:paraId="4D098C76">
            <w:pPr>
              <w:spacing w:line="600" w:lineRule="exact"/>
              <w:jc w:val="left"/>
              <w:rPr>
                <w:rFonts w:hint="default" w:asciiTheme="minorEastAsia" w:hAnsiTheme="minorEastAsia" w:cstheme="minorEastAsia"/>
                <w:color w:val="auto"/>
                <w:szCs w:val="21"/>
                <w:lang w:val="en-US" w:eastAsia="zh-CN"/>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szCs w:val="21"/>
                <w:lang w:val="en-US" w:eastAsia="zh-CN"/>
              </w:rPr>
              <w:t>现场勘查设施设备是否齐全和完好</w:t>
            </w:r>
            <w:r>
              <w:rPr>
                <w:rFonts w:hint="eastAsia" w:asciiTheme="minorEastAsia" w:hAnsiTheme="minorEastAsia" w:cstheme="minorEastAsia"/>
                <w:color w:val="auto"/>
                <w:szCs w:val="21"/>
                <w:lang w:val="en-US" w:eastAsia="zh-CN"/>
              </w:rPr>
              <w:t>。</w:t>
            </w:r>
          </w:p>
        </w:tc>
        <w:tc>
          <w:tcPr>
            <w:tcW w:w="2280" w:type="dxa"/>
            <w:tcBorders>
              <w:top w:val="single" w:color="000000" w:sz="8" w:space="0"/>
              <w:left w:val="single" w:color="000000" w:sz="8" w:space="0"/>
              <w:bottom w:val="single" w:color="000000" w:sz="8" w:space="0"/>
              <w:right w:val="single" w:color="auto" w:sz="4" w:space="0"/>
            </w:tcBorders>
            <w:shd w:val="clear" w:color="auto" w:fill="auto"/>
            <w:vAlign w:val="center"/>
          </w:tcPr>
          <w:p w14:paraId="5F0E330D">
            <w:pPr>
              <w:spacing w:line="6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现场评分具备全部设施赋分10分，具备3-5个赋分7分，具备1-2个赋分3分，都不具备为0</w:t>
            </w:r>
          </w:p>
        </w:tc>
        <w:tc>
          <w:tcPr>
            <w:tcW w:w="611" w:type="dxa"/>
            <w:tcBorders>
              <w:top w:val="single" w:color="000000" w:sz="8" w:space="0"/>
              <w:left w:val="single" w:color="auto" w:sz="4" w:space="0"/>
              <w:bottom w:val="single" w:color="000000" w:sz="8" w:space="0"/>
              <w:right w:val="single" w:color="000000" w:sz="8" w:space="0"/>
            </w:tcBorders>
          </w:tcPr>
          <w:p w14:paraId="2B75C233">
            <w:pPr>
              <w:spacing w:line="600" w:lineRule="exact"/>
              <w:jc w:val="center"/>
              <w:rPr>
                <w:rFonts w:hint="eastAsia" w:asciiTheme="minorEastAsia" w:hAnsiTheme="minorEastAsia" w:eastAsiaTheme="minorEastAsia" w:cstheme="minorEastAsia"/>
                <w:color w:val="auto"/>
                <w:sz w:val="21"/>
                <w:szCs w:val="21"/>
              </w:rPr>
            </w:pPr>
          </w:p>
        </w:tc>
      </w:tr>
      <w:tr w14:paraId="4F58CDC3">
        <w:tblPrEx>
          <w:tblCellMar>
            <w:top w:w="0" w:type="dxa"/>
            <w:left w:w="0" w:type="dxa"/>
            <w:bottom w:w="0" w:type="dxa"/>
            <w:right w:w="0" w:type="dxa"/>
          </w:tblCellMar>
        </w:tblPrEx>
        <w:trPr>
          <w:trHeight w:val="1823" w:hRule="atLeast"/>
          <w:jc w:val="center"/>
        </w:trPr>
        <w:tc>
          <w:tcPr>
            <w:tcW w:w="1146" w:type="dxa"/>
            <w:vMerge w:val="continue"/>
            <w:tcBorders>
              <w:left w:val="single" w:color="000000" w:sz="8" w:space="0"/>
              <w:right w:val="single" w:color="000000" w:sz="8" w:space="0"/>
            </w:tcBorders>
            <w:vAlign w:val="center"/>
          </w:tcPr>
          <w:p w14:paraId="5B33CFC3">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29CED58A">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Cs w:val="21"/>
                <w:lang w:val="en-US" w:eastAsia="zh-CN" w:bidi="ar"/>
              </w:rPr>
              <w:t>7.</w:t>
            </w:r>
            <w:r>
              <w:rPr>
                <w:rFonts w:hint="eastAsia" w:asciiTheme="minorEastAsia" w:hAnsiTheme="minorEastAsia" w:eastAsiaTheme="minorEastAsia" w:cstheme="minorEastAsia"/>
                <w:color w:val="auto"/>
                <w:kern w:val="0"/>
                <w:szCs w:val="21"/>
                <w:lang w:bidi="ar"/>
              </w:rPr>
              <w:t>申请药店与医疗机构的距离</w:t>
            </w:r>
            <w:r>
              <w:rPr>
                <w:rFonts w:hint="eastAsia" w:asciiTheme="minorEastAsia" w:hAnsiTheme="minorEastAsia" w:cstheme="minorEastAsia"/>
                <w:color w:val="auto"/>
                <w:kern w:val="0"/>
                <w:szCs w:val="21"/>
                <w:lang w:eastAsia="zh-CN" w:bidi="ar"/>
              </w:rPr>
              <w:t>：</w:t>
            </w:r>
            <w:r>
              <w:rPr>
                <w:rFonts w:hint="eastAsia" w:asciiTheme="minorEastAsia" w:hAnsiTheme="minorEastAsia" w:eastAsiaTheme="minorEastAsia" w:cstheme="minorEastAsia"/>
                <w:color w:val="auto"/>
                <w:sz w:val="21"/>
                <w:szCs w:val="21"/>
                <w:lang w:val="en-US" w:eastAsia="zh-CN"/>
              </w:rPr>
              <w:t>药店与医院的</w:t>
            </w:r>
            <w:r>
              <w:rPr>
                <w:rFonts w:hint="eastAsia" w:asciiTheme="minorEastAsia" w:hAnsiTheme="minorEastAsia" w:cstheme="minorEastAsia"/>
                <w:color w:val="auto"/>
                <w:sz w:val="21"/>
                <w:szCs w:val="21"/>
                <w:lang w:val="en-US" w:eastAsia="zh-CN"/>
              </w:rPr>
              <w:t>步行</w:t>
            </w:r>
            <w:r>
              <w:rPr>
                <w:rFonts w:hint="eastAsia" w:asciiTheme="minorEastAsia" w:hAnsiTheme="minorEastAsia" w:eastAsiaTheme="minorEastAsia" w:cstheme="minorEastAsia"/>
                <w:color w:val="auto"/>
                <w:sz w:val="21"/>
                <w:szCs w:val="21"/>
                <w:lang w:val="en-US" w:eastAsia="zh-CN"/>
              </w:rPr>
              <w:t>距离500米内</w:t>
            </w: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500米-2公里内</w:t>
            </w: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val="en-US" w:eastAsia="zh-CN"/>
              </w:rPr>
              <w:t>分，2公里外0分。</w:t>
            </w:r>
          </w:p>
        </w:tc>
        <w:tc>
          <w:tcPr>
            <w:tcW w:w="2027" w:type="dxa"/>
            <w:tcBorders>
              <w:top w:val="single" w:color="000000" w:sz="8" w:space="0"/>
              <w:left w:val="single" w:color="000000" w:sz="8" w:space="0"/>
              <w:bottom w:val="single" w:color="000000" w:sz="8" w:space="0"/>
              <w:right w:val="single" w:color="auto" w:sz="4" w:space="0"/>
            </w:tcBorders>
            <w:shd w:val="clear" w:color="auto" w:fill="auto"/>
            <w:vAlign w:val="center"/>
          </w:tcPr>
          <w:p w14:paraId="575A65E9">
            <w:pPr>
              <w:spacing w:line="600" w:lineRule="exact"/>
              <w:jc w:val="left"/>
              <w:rPr>
                <w:rFonts w:hint="default" w:asciiTheme="minorEastAsia" w:hAnsiTheme="minorEastAsia" w:cstheme="minorEastAsia"/>
                <w:color w:val="auto"/>
                <w:kern w:val="0"/>
                <w:szCs w:val="21"/>
                <w:lang w:val="en-US" w:eastAsia="zh-CN" w:bidi="ar"/>
              </w:rPr>
            </w:pPr>
            <w:r>
              <w:rPr>
                <w:rFonts w:hint="eastAsia" w:asciiTheme="minorEastAsia" w:hAnsiTheme="minorEastAsia" w:cstheme="minorEastAsia"/>
                <w:color w:val="auto"/>
                <w:kern w:val="0"/>
                <w:szCs w:val="21"/>
                <w:lang w:val="en-US" w:eastAsia="zh-CN" w:bidi="ar"/>
              </w:rPr>
              <w:t>按百度地图搜索步行距离。</w:t>
            </w:r>
          </w:p>
        </w:tc>
        <w:tc>
          <w:tcPr>
            <w:tcW w:w="2280" w:type="dxa"/>
            <w:tcBorders>
              <w:top w:val="single" w:color="000000" w:sz="8" w:space="0"/>
              <w:left w:val="single" w:color="000000" w:sz="8" w:space="0"/>
              <w:bottom w:val="single" w:color="000000" w:sz="8" w:space="0"/>
              <w:right w:val="single" w:color="auto" w:sz="4" w:space="0"/>
            </w:tcBorders>
            <w:shd w:val="clear" w:color="auto" w:fill="auto"/>
            <w:vAlign w:val="center"/>
          </w:tcPr>
          <w:p w14:paraId="13AA2886">
            <w:pPr>
              <w:spacing w:line="6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按距离赋分：10</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，0</w:t>
            </w:r>
          </w:p>
        </w:tc>
        <w:tc>
          <w:tcPr>
            <w:tcW w:w="611" w:type="dxa"/>
            <w:tcBorders>
              <w:top w:val="single" w:color="000000" w:sz="8" w:space="0"/>
              <w:left w:val="single" w:color="auto" w:sz="4" w:space="0"/>
              <w:bottom w:val="single" w:color="000000" w:sz="8" w:space="0"/>
              <w:right w:val="single" w:color="000000" w:sz="8" w:space="0"/>
            </w:tcBorders>
          </w:tcPr>
          <w:p w14:paraId="79989C84">
            <w:pPr>
              <w:spacing w:line="600" w:lineRule="exact"/>
              <w:jc w:val="center"/>
              <w:rPr>
                <w:rFonts w:hint="eastAsia" w:asciiTheme="minorEastAsia" w:hAnsiTheme="minorEastAsia" w:eastAsiaTheme="minorEastAsia" w:cstheme="minorEastAsia"/>
                <w:color w:val="auto"/>
                <w:sz w:val="21"/>
                <w:szCs w:val="21"/>
              </w:rPr>
            </w:pPr>
          </w:p>
        </w:tc>
      </w:tr>
      <w:tr w14:paraId="563D6B34">
        <w:tblPrEx>
          <w:tblCellMar>
            <w:top w:w="0" w:type="dxa"/>
            <w:left w:w="0" w:type="dxa"/>
            <w:bottom w:w="0" w:type="dxa"/>
            <w:right w:w="0" w:type="dxa"/>
          </w:tblCellMar>
        </w:tblPrEx>
        <w:trPr>
          <w:trHeight w:val="2191" w:hRule="atLeast"/>
          <w:jc w:val="center"/>
        </w:trPr>
        <w:tc>
          <w:tcPr>
            <w:tcW w:w="1146" w:type="dxa"/>
            <w:vMerge w:val="continue"/>
            <w:tcBorders>
              <w:left w:val="single" w:color="000000" w:sz="8" w:space="0"/>
              <w:right w:val="single" w:color="000000" w:sz="8" w:space="0"/>
            </w:tcBorders>
            <w:vAlign w:val="center"/>
          </w:tcPr>
          <w:p w14:paraId="3417F5B0">
            <w:pPr>
              <w:spacing w:line="600" w:lineRule="exact"/>
              <w:jc w:val="center"/>
              <w:rPr>
                <w:rFonts w:hint="eastAsia" w:asciiTheme="minorEastAsia" w:hAnsiTheme="minorEastAsia" w:eastAsiaTheme="minorEastAsia" w:cstheme="minorEastAsia"/>
                <w:b/>
                <w:bCs/>
                <w:color w:val="auto"/>
                <w:sz w:val="21"/>
                <w:szCs w:val="21"/>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1FBDCB8D">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Cs w:val="21"/>
                <w:lang w:val="en-US" w:eastAsia="zh-CN"/>
              </w:rPr>
              <w:t>8.</w:t>
            </w:r>
            <w:r>
              <w:rPr>
                <w:rFonts w:hint="eastAsia" w:asciiTheme="minorEastAsia" w:hAnsiTheme="minorEastAsia" w:eastAsiaTheme="minorEastAsia" w:cstheme="minorEastAsia"/>
                <w:color w:val="auto"/>
                <w:kern w:val="0"/>
                <w:szCs w:val="21"/>
              </w:rPr>
              <w:t>药店具有送药上门能力。</w:t>
            </w:r>
            <w:r>
              <w:rPr>
                <w:rFonts w:hint="eastAsia" w:asciiTheme="minorEastAsia" w:hAnsiTheme="minorEastAsia" w:eastAsiaTheme="minorEastAsia" w:cstheme="minorEastAsia"/>
                <w:color w:val="auto"/>
                <w:szCs w:val="21"/>
              </w:rPr>
              <w:t>药店人员应当熟悉药品质量管理法律法规，并接受市场监管局等主管部门的药事管理法律法规和专业知识培训。</w:t>
            </w:r>
          </w:p>
        </w:tc>
        <w:tc>
          <w:tcPr>
            <w:tcW w:w="2027" w:type="dxa"/>
            <w:tcBorders>
              <w:top w:val="single" w:color="000000" w:sz="8" w:space="0"/>
              <w:left w:val="single" w:color="000000" w:sz="8" w:space="0"/>
              <w:bottom w:val="single" w:color="000000" w:sz="8" w:space="0"/>
              <w:right w:val="single" w:color="auto" w:sz="4" w:space="0"/>
            </w:tcBorders>
            <w:vAlign w:val="center"/>
          </w:tcPr>
          <w:p w14:paraId="1554E401">
            <w:pPr>
              <w:spacing w:line="600" w:lineRule="exact"/>
              <w:jc w:val="left"/>
              <w:rPr>
                <w:rFonts w:hint="default" w:asciiTheme="minorEastAsia" w:hAnsiTheme="minorEastAsia" w:cstheme="minorEastAsia"/>
                <w:color w:val="auto"/>
                <w:kern w:val="0"/>
                <w:szCs w:val="21"/>
                <w:lang w:val="en-US" w:eastAsia="zh-CN"/>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kern w:val="0"/>
                <w:szCs w:val="21"/>
                <w:lang w:val="en-US" w:eastAsia="zh-CN"/>
              </w:rPr>
              <w:t>现场抽问，回答</w:t>
            </w:r>
            <w:r>
              <w:rPr>
                <w:rFonts w:hint="eastAsia" w:asciiTheme="minorEastAsia" w:hAnsiTheme="minorEastAsia" w:eastAsiaTheme="minorEastAsia" w:cstheme="minorEastAsia"/>
                <w:color w:val="auto"/>
                <w:kern w:val="0"/>
                <w:szCs w:val="21"/>
                <w:lang w:val="en-US" w:eastAsia="zh-CN" w:bidi="ar"/>
              </w:rPr>
              <w:t>正确性及</w:t>
            </w:r>
            <w:r>
              <w:rPr>
                <w:rFonts w:hint="eastAsia" w:asciiTheme="minorEastAsia" w:hAnsiTheme="minorEastAsia" w:cstheme="minorEastAsia"/>
                <w:color w:val="auto"/>
                <w:kern w:val="0"/>
                <w:szCs w:val="21"/>
                <w:lang w:val="en-US" w:eastAsia="zh-CN"/>
              </w:rPr>
              <w:t>流畅程度进行评分。</w:t>
            </w:r>
          </w:p>
        </w:tc>
        <w:tc>
          <w:tcPr>
            <w:tcW w:w="2280" w:type="dxa"/>
            <w:tcBorders>
              <w:top w:val="single" w:color="000000" w:sz="8" w:space="0"/>
              <w:left w:val="single" w:color="000000" w:sz="8" w:space="0"/>
              <w:bottom w:val="single" w:color="000000" w:sz="8" w:space="0"/>
              <w:right w:val="single" w:color="auto" w:sz="4" w:space="0"/>
            </w:tcBorders>
            <w:vAlign w:val="center"/>
          </w:tcPr>
          <w:p w14:paraId="31B7A0A0">
            <w:pPr>
              <w:spacing w:line="6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 xml:space="preserve"> 按回答优秀赋分10分，良好赋分7分，一般赋分3分，不能回答为0</w:t>
            </w:r>
          </w:p>
        </w:tc>
        <w:tc>
          <w:tcPr>
            <w:tcW w:w="611" w:type="dxa"/>
            <w:tcBorders>
              <w:top w:val="single" w:color="000000" w:sz="8" w:space="0"/>
              <w:left w:val="single" w:color="auto" w:sz="4" w:space="0"/>
              <w:bottom w:val="single" w:color="000000" w:sz="8" w:space="0"/>
              <w:right w:val="single" w:color="000000" w:sz="8" w:space="0"/>
            </w:tcBorders>
          </w:tcPr>
          <w:p w14:paraId="1D4285D6">
            <w:pPr>
              <w:spacing w:line="600" w:lineRule="exact"/>
              <w:jc w:val="center"/>
              <w:rPr>
                <w:rFonts w:hint="eastAsia" w:asciiTheme="minorEastAsia" w:hAnsiTheme="minorEastAsia" w:eastAsiaTheme="minorEastAsia" w:cstheme="minorEastAsia"/>
                <w:color w:val="auto"/>
                <w:sz w:val="21"/>
                <w:szCs w:val="21"/>
              </w:rPr>
            </w:pPr>
          </w:p>
        </w:tc>
      </w:tr>
      <w:tr w14:paraId="790D670E">
        <w:tblPrEx>
          <w:tblCellMar>
            <w:top w:w="0" w:type="dxa"/>
            <w:left w:w="0" w:type="dxa"/>
            <w:bottom w:w="0" w:type="dxa"/>
            <w:right w:w="0" w:type="dxa"/>
          </w:tblCellMar>
        </w:tblPrEx>
        <w:trPr>
          <w:trHeight w:val="2419" w:hRule="atLeast"/>
          <w:jc w:val="center"/>
        </w:trPr>
        <w:tc>
          <w:tcPr>
            <w:tcW w:w="1146" w:type="dxa"/>
            <w:vMerge w:val="continue"/>
            <w:tcBorders>
              <w:left w:val="single" w:color="000000" w:sz="8" w:space="0"/>
              <w:right w:val="single" w:color="000000" w:sz="8" w:space="0"/>
            </w:tcBorders>
            <w:vAlign w:val="center"/>
          </w:tcPr>
          <w:p w14:paraId="3DD34B8E">
            <w:pPr>
              <w:spacing w:line="600" w:lineRule="exact"/>
              <w:jc w:val="center"/>
              <w:rPr>
                <w:rFonts w:hint="eastAsia" w:asciiTheme="minorEastAsia" w:hAnsiTheme="minorEastAsia" w:eastAsiaTheme="minorEastAsia" w:cstheme="minorEastAsia"/>
                <w:b/>
                <w:bCs/>
                <w:color w:val="auto"/>
                <w:sz w:val="21"/>
                <w:szCs w:val="21"/>
                <w:lang w:val="en-US" w:eastAsia="zh-CN"/>
              </w:rPr>
            </w:pP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5CF172E5">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Cs w:val="21"/>
                <w:lang w:val="en-US" w:eastAsia="zh-CN"/>
              </w:rPr>
              <w:t>9.</w:t>
            </w:r>
            <w:r>
              <w:rPr>
                <w:rFonts w:hint="eastAsia" w:asciiTheme="minorEastAsia" w:hAnsiTheme="minorEastAsia" w:eastAsiaTheme="minorEastAsia" w:cstheme="minorEastAsia"/>
                <w:color w:val="auto"/>
                <w:szCs w:val="21"/>
              </w:rPr>
              <w:t>药店工作人员应遵守处方管理制度和处方调配操作规程。药店人员应当熟悉药品质量管理法律法规，并接受市场监管局等主管部门的药事管理法律法规和专业知识培训。</w:t>
            </w:r>
          </w:p>
        </w:tc>
        <w:tc>
          <w:tcPr>
            <w:tcW w:w="2027" w:type="dxa"/>
            <w:tcBorders>
              <w:top w:val="single" w:color="000000" w:sz="8" w:space="0"/>
              <w:left w:val="single" w:color="000000" w:sz="8" w:space="0"/>
              <w:bottom w:val="single" w:color="000000" w:sz="8" w:space="0"/>
              <w:right w:val="single" w:color="auto" w:sz="4" w:space="0"/>
            </w:tcBorders>
            <w:vAlign w:val="center"/>
          </w:tcPr>
          <w:p w14:paraId="6CC0BEF3">
            <w:pPr>
              <w:spacing w:line="600" w:lineRule="exact"/>
              <w:jc w:val="left"/>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kern w:val="0"/>
                <w:szCs w:val="21"/>
                <w:lang w:val="en-US" w:eastAsia="zh-CN"/>
              </w:rPr>
              <w:t>现场抽问，回答</w:t>
            </w:r>
            <w:r>
              <w:rPr>
                <w:rFonts w:hint="eastAsia" w:asciiTheme="minorEastAsia" w:hAnsiTheme="minorEastAsia" w:eastAsiaTheme="minorEastAsia" w:cstheme="minorEastAsia"/>
                <w:color w:val="auto"/>
                <w:kern w:val="0"/>
                <w:szCs w:val="21"/>
                <w:lang w:val="en-US" w:eastAsia="zh-CN" w:bidi="ar"/>
              </w:rPr>
              <w:t>正确性及</w:t>
            </w:r>
            <w:r>
              <w:rPr>
                <w:rFonts w:hint="eastAsia" w:asciiTheme="minorEastAsia" w:hAnsiTheme="minorEastAsia" w:cstheme="minorEastAsia"/>
                <w:color w:val="auto"/>
                <w:kern w:val="0"/>
                <w:szCs w:val="21"/>
                <w:lang w:val="en-US" w:eastAsia="zh-CN"/>
              </w:rPr>
              <w:t>流畅程度进行评分。</w:t>
            </w:r>
          </w:p>
        </w:tc>
        <w:tc>
          <w:tcPr>
            <w:tcW w:w="2280" w:type="dxa"/>
            <w:tcBorders>
              <w:top w:val="single" w:color="000000" w:sz="8" w:space="0"/>
              <w:left w:val="single" w:color="000000" w:sz="8" w:space="0"/>
              <w:bottom w:val="single" w:color="000000" w:sz="8" w:space="0"/>
              <w:right w:val="single" w:color="auto" w:sz="4" w:space="0"/>
            </w:tcBorders>
            <w:vAlign w:val="center"/>
          </w:tcPr>
          <w:p w14:paraId="3256D613">
            <w:pPr>
              <w:spacing w:line="6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按回答优秀赋分10分，良好赋分7分，一般赋分3分，不能回答为0</w:t>
            </w:r>
          </w:p>
        </w:tc>
        <w:tc>
          <w:tcPr>
            <w:tcW w:w="611" w:type="dxa"/>
            <w:tcBorders>
              <w:top w:val="single" w:color="000000" w:sz="8" w:space="0"/>
              <w:left w:val="single" w:color="auto" w:sz="4" w:space="0"/>
              <w:bottom w:val="single" w:color="000000" w:sz="8" w:space="0"/>
              <w:right w:val="single" w:color="000000" w:sz="8" w:space="0"/>
            </w:tcBorders>
          </w:tcPr>
          <w:p w14:paraId="01444535">
            <w:pPr>
              <w:spacing w:line="600" w:lineRule="exact"/>
              <w:jc w:val="center"/>
              <w:rPr>
                <w:rFonts w:hint="eastAsia" w:asciiTheme="minorEastAsia" w:hAnsiTheme="minorEastAsia" w:eastAsiaTheme="minorEastAsia" w:cstheme="minorEastAsia"/>
                <w:color w:val="auto"/>
                <w:sz w:val="21"/>
                <w:szCs w:val="21"/>
              </w:rPr>
            </w:pPr>
          </w:p>
        </w:tc>
      </w:tr>
      <w:tr w14:paraId="50A3DDC4">
        <w:tblPrEx>
          <w:tblCellMar>
            <w:top w:w="0" w:type="dxa"/>
            <w:left w:w="0" w:type="dxa"/>
            <w:bottom w:w="0" w:type="dxa"/>
            <w:right w:w="0" w:type="dxa"/>
          </w:tblCellMar>
        </w:tblPrEx>
        <w:trPr>
          <w:trHeight w:val="2191" w:hRule="atLeast"/>
          <w:jc w:val="center"/>
        </w:trPr>
        <w:tc>
          <w:tcPr>
            <w:tcW w:w="1146" w:type="dxa"/>
            <w:tcBorders>
              <w:top w:val="single" w:color="auto" w:sz="4" w:space="0"/>
              <w:left w:val="single" w:color="000000" w:sz="8" w:space="0"/>
              <w:right w:val="single" w:color="000000" w:sz="8" w:space="0"/>
            </w:tcBorders>
            <w:vAlign w:val="center"/>
          </w:tcPr>
          <w:p w14:paraId="21AACF8A">
            <w:pPr>
              <w:spacing w:line="600" w:lineRule="exact"/>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（三）</w:t>
            </w:r>
            <w:r>
              <w:rPr>
                <w:rFonts w:hint="eastAsia" w:asciiTheme="minorEastAsia" w:hAnsiTheme="minorEastAsia" w:eastAsiaTheme="minorEastAsia" w:cstheme="minorEastAsia"/>
                <w:b/>
                <w:bCs/>
                <w:color w:val="auto"/>
                <w:sz w:val="21"/>
                <w:szCs w:val="21"/>
                <w:lang w:val="en-US" w:eastAsia="zh-CN"/>
              </w:rPr>
              <w:t>加分项</w:t>
            </w:r>
            <w:r>
              <w:rPr>
                <w:rFonts w:hint="eastAsia" w:asciiTheme="minorEastAsia" w:hAnsiTheme="minorEastAsia" w:cstheme="minorEastAsia"/>
                <w:b/>
                <w:bCs/>
                <w:color w:val="auto"/>
                <w:sz w:val="21"/>
                <w:szCs w:val="21"/>
                <w:lang w:val="en-US" w:eastAsia="zh-CN"/>
              </w:rPr>
              <w:t>（20分）</w:t>
            </w:r>
          </w:p>
        </w:tc>
        <w:tc>
          <w:tcPr>
            <w:tcW w:w="43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3943E2DF">
            <w:pPr>
              <w:spacing w:line="60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1.中山市医保“双通道药品”销售定点资格 </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0分，无为0分</w:t>
            </w:r>
          </w:p>
        </w:tc>
        <w:tc>
          <w:tcPr>
            <w:tcW w:w="2027" w:type="dxa"/>
            <w:tcBorders>
              <w:top w:val="single" w:color="000000" w:sz="8" w:space="0"/>
              <w:left w:val="single" w:color="000000" w:sz="8" w:space="0"/>
              <w:bottom w:val="single" w:color="000000" w:sz="8" w:space="0"/>
              <w:right w:val="single" w:color="auto" w:sz="4" w:space="0"/>
            </w:tcBorders>
            <w:vAlign w:val="center"/>
          </w:tcPr>
          <w:p w14:paraId="5761597C">
            <w:pPr>
              <w:spacing w:line="600" w:lineRule="exact"/>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Cs w:val="21"/>
                <w:lang w:val="en-US" w:eastAsia="zh-CN" w:bidi="ar"/>
              </w:rPr>
              <w:t>查看资料并</w:t>
            </w:r>
            <w:r>
              <w:rPr>
                <w:rFonts w:hint="eastAsia" w:asciiTheme="minorEastAsia" w:hAnsiTheme="minorEastAsia" w:cstheme="minorEastAsia"/>
                <w:color w:val="auto"/>
                <w:sz w:val="21"/>
                <w:szCs w:val="21"/>
                <w:lang w:val="en-US" w:eastAsia="zh-CN"/>
              </w:rPr>
              <w:t>现场复核相关资料。</w:t>
            </w:r>
          </w:p>
        </w:tc>
        <w:tc>
          <w:tcPr>
            <w:tcW w:w="2280" w:type="dxa"/>
            <w:tcBorders>
              <w:top w:val="single" w:color="000000" w:sz="8" w:space="0"/>
              <w:left w:val="single" w:color="000000" w:sz="8" w:space="0"/>
              <w:bottom w:val="single" w:color="000000" w:sz="8" w:space="0"/>
              <w:right w:val="single" w:color="auto" w:sz="4" w:space="0"/>
            </w:tcBorders>
            <w:vAlign w:val="center"/>
          </w:tcPr>
          <w:p w14:paraId="2C7B46F6">
            <w:pPr>
              <w:spacing w:line="6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 xml:space="preserve"> 查看资料，符合资格要求赋分20分，否为0</w:t>
            </w:r>
          </w:p>
        </w:tc>
        <w:tc>
          <w:tcPr>
            <w:tcW w:w="611" w:type="dxa"/>
            <w:tcBorders>
              <w:top w:val="single" w:color="000000" w:sz="8" w:space="0"/>
              <w:left w:val="single" w:color="auto" w:sz="4" w:space="0"/>
              <w:bottom w:val="single" w:color="000000" w:sz="8" w:space="0"/>
              <w:right w:val="single" w:color="000000" w:sz="8" w:space="0"/>
            </w:tcBorders>
          </w:tcPr>
          <w:p w14:paraId="60D1876C">
            <w:pPr>
              <w:spacing w:line="600" w:lineRule="exact"/>
              <w:jc w:val="center"/>
              <w:rPr>
                <w:rFonts w:hint="eastAsia" w:asciiTheme="minorEastAsia" w:hAnsiTheme="minorEastAsia" w:eastAsiaTheme="minorEastAsia" w:cstheme="minorEastAsia"/>
                <w:color w:val="auto"/>
                <w:sz w:val="21"/>
                <w:szCs w:val="21"/>
              </w:rPr>
            </w:pPr>
          </w:p>
        </w:tc>
      </w:tr>
      <w:tr w14:paraId="5448800C">
        <w:tblPrEx>
          <w:tblCellMar>
            <w:top w:w="0" w:type="dxa"/>
            <w:left w:w="0" w:type="dxa"/>
            <w:bottom w:w="0" w:type="dxa"/>
            <w:right w:w="0" w:type="dxa"/>
          </w:tblCellMar>
        </w:tblPrEx>
        <w:trPr>
          <w:trHeight w:val="876" w:hRule="atLeast"/>
          <w:jc w:val="center"/>
        </w:trPr>
        <w:tc>
          <w:tcPr>
            <w:tcW w:w="7506" w:type="dxa"/>
            <w:gridSpan w:val="3"/>
            <w:tcBorders>
              <w:top w:val="single" w:color="auto" w:sz="4" w:space="0"/>
              <w:left w:val="single" w:color="000000" w:sz="8" w:space="0"/>
              <w:bottom w:val="single" w:color="auto" w:sz="4" w:space="0"/>
              <w:right w:val="single" w:color="auto" w:sz="4" w:space="0"/>
            </w:tcBorders>
            <w:vAlign w:val="center"/>
          </w:tcPr>
          <w:p w14:paraId="5B07A502">
            <w:pPr>
              <w:spacing w:line="600" w:lineRule="exact"/>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t>总分</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cstheme="minorEastAsia"/>
                <w:b/>
                <w:bCs/>
                <w:color w:val="auto"/>
                <w:sz w:val="21"/>
                <w:szCs w:val="21"/>
                <w:lang w:val="en-US" w:eastAsia="zh-CN"/>
              </w:rPr>
              <w:t>基础</w:t>
            </w:r>
            <w:r>
              <w:rPr>
                <w:rFonts w:hint="eastAsia" w:asciiTheme="minorEastAsia" w:hAnsiTheme="minorEastAsia" w:eastAsiaTheme="minorEastAsia" w:cstheme="minorEastAsia"/>
                <w:b/>
                <w:bCs/>
                <w:color w:val="auto"/>
                <w:sz w:val="21"/>
                <w:szCs w:val="21"/>
                <w:lang w:val="en-US" w:eastAsia="zh-CN"/>
              </w:rPr>
              <w:t>10</w:t>
            </w:r>
            <w:r>
              <w:rPr>
                <w:rFonts w:hint="eastAsia" w:asciiTheme="minorEastAsia" w:hAnsiTheme="minorEastAsia" w:cstheme="minorEastAsia"/>
                <w:b/>
                <w:bCs/>
                <w:color w:val="auto"/>
                <w:sz w:val="21"/>
                <w:szCs w:val="21"/>
                <w:lang w:val="en-US" w:eastAsia="zh-CN"/>
              </w:rPr>
              <w:t>0+加分20</w:t>
            </w:r>
            <w:r>
              <w:rPr>
                <w:rFonts w:hint="eastAsia" w:asciiTheme="minorEastAsia" w:hAnsiTheme="minorEastAsia" w:eastAsiaTheme="minorEastAsia" w:cstheme="minorEastAsia"/>
                <w:b/>
                <w:bCs/>
                <w:color w:val="auto"/>
                <w:sz w:val="21"/>
                <w:szCs w:val="21"/>
                <w:lang w:val="en-US" w:eastAsia="zh-CN"/>
              </w:rPr>
              <w:t>）</w:t>
            </w:r>
          </w:p>
        </w:tc>
        <w:tc>
          <w:tcPr>
            <w:tcW w:w="2280" w:type="dxa"/>
            <w:tcBorders>
              <w:top w:val="single" w:color="000000" w:sz="8" w:space="0"/>
              <w:left w:val="single" w:color="auto" w:sz="4" w:space="0"/>
              <w:bottom w:val="single" w:color="000000" w:sz="8" w:space="0"/>
              <w:right w:val="single" w:color="000000" w:sz="8" w:space="0"/>
            </w:tcBorders>
          </w:tcPr>
          <w:p w14:paraId="74318878">
            <w:pPr>
              <w:spacing w:line="600" w:lineRule="exact"/>
              <w:jc w:val="center"/>
              <w:rPr>
                <w:rFonts w:hint="eastAsia" w:asciiTheme="minorEastAsia" w:hAnsiTheme="minorEastAsia" w:eastAsiaTheme="minorEastAsia" w:cstheme="minorEastAsia"/>
                <w:b/>
                <w:bCs/>
                <w:color w:val="auto"/>
                <w:sz w:val="21"/>
                <w:szCs w:val="21"/>
              </w:rPr>
            </w:pPr>
          </w:p>
        </w:tc>
        <w:tc>
          <w:tcPr>
            <w:tcW w:w="611" w:type="dxa"/>
            <w:tcBorders>
              <w:top w:val="single" w:color="000000" w:sz="8" w:space="0"/>
              <w:left w:val="single" w:color="auto" w:sz="4" w:space="0"/>
              <w:bottom w:val="single" w:color="000000" w:sz="8" w:space="0"/>
              <w:right w:val="single" w:color="000000" w:sz="8" w:space="0"/>
            </w:tcBorders>
          </w:tcPr>
          <w:p w14:paraId="12CF1665">
            <w:pPr>
              <w:spacing w:line="600" w:lineRule="exact"/>
              <w:jc w:val="center"/>
              <w:rPr>
                <w:rFonts w:hint="eastAsia" w:asciiTheme="minorEastAsia" w:hAnsiTheme="minorEastAsia" w:eastAsiaTheme="minorEastAsia" w:cstheme="minorEastAsia"/>
                <w:color w:val="auto"/>
                <w:sz w:val="21"/>
                <w:szCs w:val="21"/>
              </w:rPr>
            </w:pPr>
          </w:p>
        </w:tc>
      </w:tr>
    </w:tbl>
    <w:p w14:paraId="7F1F3A80">
      <w:pPr>
        <w:rPr>
          <w:rFonts w:hint="eastAsia" w:asciiTheme="minorEastAsia" w:hAnsiTheme="minorEastAsia" w:eastAsiaTheme="minorEastAsia" w:cstheme="minorEastAsia"/>
          <w:color w:val="auto"/>
          <w:sz w:val="21"/>
          <w:szCs w:val="21"/>
        </w:rPr>
      </w:pP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CA4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1572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091572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E79E4"/>
    <w:multiLevelType w:val="singleLevel"/>
    <w:tmpl w:val="53CE79E4"/>
    <w:lvl w:ilvl="0" w:tentative="0">
      <w:start w:val="2"/>
      <w:numFmt w:val="chineseCounting"/>
      <w:suff w:val="space"/>
      <w:lvlText w:val="（%1）"/>
      <w:lvlJc w:val="left"/>
      <w:rPr>
        <w:rFonts w:hint="eastAsia"/>
      </w:rPr>
    </w:lvl>
  </w:abstractNum>
  <w:abstractNum w:abstractNumId="1">
    <w:nsid w:val="7EEC55A9"/>
    <w:multiLevelType w:val="singleLevel"/>
    <w:tmpl w:val="7EEC55A9"/>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AA0"/>
    <w:rsid w:val="00031AA0"/>
    <w:rsid w:val="00046FFD"/>
    <w:rsid w:val="00160594"/>
    <w:rsid w:val="001E1678"/>
    <w:rsid w:val="00254014"/>
    <w:rsid w:val="0047408E"/>
    <w:rsid w:val="00616173"/>
    <w:rsid w:val="007177E3"/>
    <w:rsid w:val="007215F5"/>
    <w:rsid w:val="00817037"/>
    <w:rsid w:val="008302D8"/>
    <w:rsid w:val="009214BF"/>
    <w:rsid w:val="009645CD"/>
    <w:rsid w:val="00B222AB"/>
    <w:rsid w:val="14625DD5"/>
    <w:rsid w:val="15D44F54"/>
    <w:rsid w:val="2F0D50D4"/>
    <w:rsid w:val="3BD470E4"/>
    <w:rsid w:val="4BEC50F1"/>
    <w:rsid w:val="5D6F78C9"/>
    <w:rsid w:val="5F8147A5"/>
    <w:rsid w:val="6AF36CDB"/>
    <w:rsid w:val="6C011E36"/>
    <w:rsid w:val="785C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1512</Words>
  <Characters>1598</Characters>
  <Lines>9</Lines>
  <Paragraphs>2</Paragraphs>
  <TotalTime>10</TotalTime>
  <ScaleCrop>false</ScaleCrop>
  <LinksUpToDate>false</LinksUpToDate>
  <CharactersWithSpaces>1668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2021-08-09T07:15:00Z</dcterms:created>
  <dc:creator>Windows 用户</dc:creator>
  <cp:lastModifiedBy>慧慧</cp:lastModifiedBy>
  <cp:lastPrinted>2025-05-21T00:17:53Z</cp:lastPrinted>
  <dcterms:modified xsi:type="dcterms:W3CDTF">2025-05-21T00:17:56Z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eyJoZGlkIjoiNGY5ZWY2NjA3ZWZiYjQ5ZTI4MzdiYTIyYjQxN2Y1YmEiLCJ1c2VySWQiOiI0NTQ0MTYwMDMifQ==</vt:lpwstr>
  </property>
  <property fmtid="{D5CDD505-2E9C-101B-9397-08002B2CF9AE}" pid="3" name="KSOProductBuildVer">
    <vt:lpwstr>2052-12.1.0.20784</vt:lpwstr>
  </property>
  <property fmtid="{D5CDD505-2E9C-101B-9397-08002B2CF9AE}" pid="4" name="ICV">
    <vt:lpwstr>154891766CDB4A068CBC87816E5CADE4_13</vt:lpwstr>
  </property>
</Properties>
</file>