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12363">
      <w:pPr>
        <w:spacing w:line="440" w:lineRule="exact"/>
        <w:jc w:val="center"/>
        <w:rPr>
          <w:b/>
          <w:bCs/>
          <w:sz w:val="44"/>
          <w:szCs w:val="44"/>
        </w:rPr>
      </w:pPr>
      <w:r>
        <w:rPr>
          <w:rFonts w:hint="eastAsia"/>
          <w:b/>
          <w:bCs/>
          <w:sz w:val="44"/>
          <w:szCs w:val="44"/>
        </w:rPr>
        <w:t>报价单</w:t>
      </w:r>
    </w:p>
    <w:p w14:paraId="2D4230FD">
      <w:pPr>
        <w:spacing w:line="440" w:lineRule="exact"/>
        <w:jc w:val="center"/>
        <w:rPr>
          <w:sz w:val="24"/>
          <w:szCs w:val="24"/>
        </w:rPr>
      </w:pPr>
    </w:p>
    <w:p w14:paraId="10745019">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3A5D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7CE729C">
            <w:pPr>
              <w:spacing w:line="360" w:lineRule="auto"/>
              <w:jc w:val="center"/>
              <w:rPr>
                <w:sz w:val="24"/>
                <w:szCs w:val="24"/>
              </w:rPr>
            </w:pPr>
            <w:r>
              <w:rPr>
                <w:rFonts w:hint="eastAsia"/>
                <w:sz w:val="24"/>
                <w:szCs w:val="24"/>
              </w:rPr>
              <w:t>设备名称</w:t>
            </w:r>
          </w:p>
        </w:tc>
        <w:tc>
          <w:tcPr>
            <w:tcW w:w="5835" w:type="dxa"/>
            <w:vAlign w:val="top"/>
          </w:tcPr>
          <w:p w14:paraId="459BCC0F">
            <w:pPr>
              <w:spacing w:line="360" w:lineRule="auto"/>
              <w:jc w:val="left"/>
              <w:rPr>
                <w:sz w:val="24"/>
                <w:szCs w:val="24"/>
              </w:rPr>
            </w:pPr>
          </w:p>
        </w:tc>
      </w:tr>
      <w:tr w14:paraId="01B7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28EAB3">
            <w:pPr>
              <w:spacing w:line="360" w:lineRule="auto"/>
              <w:jc w:val="center"/>
              <w:rPr>
                <w:sz w:val="24"/>
                <w:szCs w:val="24"/>
              </w:rPr>
            </w:pPr>
            <w:r>
              <w:rPr>
                <w:rFonts w:hint="eastAsia"/>
                <w:sz w:val="24"/>
                <w:szCs w:val="24"/>
              </w:rPr>
              <w:t>型号</w:t>
            </w:r>
          </w:p>
        </w:tc>
        <w:tc>
          <w:tcPr>
            <w:tcW w:w="5835" w:type="dxa"/>
            <w:vAlign w:val="top"/>
          </w:tcPr>
          <w:p w14:paraId="7E8EA0B9">
            <w:pPr>
              <w:spacing w:line="360" w:lineRule="auto"/>
              <w:jc w:val="left"/>
              <w:rPr>
                <w:sz w:val="24"/>
                <w:szCs w:val="24"/>
              </w:rPr>
            </w:pPr>
          </w:p>
        </w:tc>
      </w:tr>
      <w:tr w14:paraId="2A15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A6B0310">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5E8DB8FF">
            <w:pPr>
              <w:spacing w:line="360" w:lineRule="auto"/>
              <w:jc w:val="left"/>
              <w:rPr>
                <w:sz w:val="24"/>
                <w:szCs w:val="24"/>
              </w:rPr>
            </w:pPr>
          </w:p>
        </w:tc>
      </w:tr>
      <w:tr w14:paraId="60C1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28" w:type="dxa"/>
            <w:vAlign w:val="top"/>
          </w:tcPr>
          <w:p w14:paraId="2BAA8DEF">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7DC9A04C">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61E44A79">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042C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7FD659B">
            <w:pPr>
              <w:spacing w:line="360" w:lineRule="auto"/>
              <w:jc w:val="center"/>
              <w:rPr>
                <w:sz w:val="24"/>
                <w:szCs w:val="24"/>
              </w:rPr>
            </w:pPr>
            <w:r>
              <w:rPr>
                <w:rFonts w:hint="eastAsia"/>
                <w:sz w:val="24"/>
                <w:szCs w:val="24"/>
              </w:rPr>
              <w:t>产地</w:t>
            </w:r>
          </w:p>
        </w:tc>
        <w:tc>
          <w:tcPr>
            <w:tcW w:w="5835" w:type="dxa"/>
            <w:vAlign w:val="top"/>
          </w:tcPr>
          <w:p w14:paraId="5F95F295">
            <w:pPr>
              <w:spacing w:line="360" w:lineRule="auto"/>
              <w:jc w:val="left"/>
              <w:rPr>
                <w:sz w:val="24"/>
                <w:szCs w:val="24"/>
              </w:rPr>
            </w:pPr>
          </w:p>
        </w:tc>
      </w:tr>
      <w:tr w14:paraId="4A8C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FFF30D6">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531F11BB">
            <w:pPr>
              <w:spacing w:line="360" w:lineRule="auto"/>
              <w:jc w:val="left"/>
              <w:rPr>
                <w:sz w:val="24"/>
                <w:szCs w:val="24"/>
              </w:rPr>
            </w:pPr>
          </w:p>
        </w:tc>
      </w:tr>
      <w:tr w14:paraId="0425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C867E72">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6040A2A2">
            <w:pPr>
              <w:spacing w:line="360" w:lineRule="auto"/>
              <w:jc w:val="left"/>
              <w:rPr>
                <w:sz w:val="24"/>
                <w:szCs w:val="24"/>
              </w:rPr>
            </w:pPr>
          </w:p>
        </w:tc>
      </w:tr>
      <w:tr w14:paraId="46A9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F9C2870">
            <w:pPr>
              <w:spacing w:line="360" w:lineRule="auto"/>
              <w:jc w:val="center"/>
              <w:rPr>
                <w:sz w:val="24"/>
                <w:szCs w:val="24"/>
              </w:rPr>
            </w:pPr>
            <w:r>
              <w:rPr>
                <w:rFonts w:hint="eastAsia"/>
                <w:sz w:val="24"/>
                <w:szCs w:val="24"/>
              </w:rPr>
              <w:t>单价（元）</w:t>
            </w:r>
          </w:p>
        </w:tc>
        <w:tc>
          <w:tcPr>
            <w:tcW w:w="5835" w:type="dxa"/>
            <w:vAlign w:val="top"/>
          </w:tcPr>
          <w:p w14:paraId="6A86B524">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76F3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D4AC927">
            <w:pPr>
              <w:spacing w:line="360" w:lineRule="auto"/>
              <w:jc w:val="center"/>
              <w:rPr>
                <w:sz w:val="24"/>
                <w:szCs w:val="24"/>
              </w:rPr>
            </w:pPr>
            <w:r>
              <w:rPr>
                <w:rFonts w:hint="eastAsia"/>
                <w:sz w:val="24"/>
                <w:szCs w:val="24"/>
              </w:rPr>
              <w:t>总价（元）</w:t>
            </w:r>
          </w:p>
        </w:tc>
        <w:tc>
          <w:tcPr>
            <w:tcW w:w="5835" w:type="dxa"/>
            <w:vAlign w:val="top"/>
          </w:tcPr>
          <w:p w14:paraId="56FFE115">
            <w:pPr>
              <w:spacing w:line="360" w:lineRule="auto"/>
              <w:jc w:val="left"/>
              <w:rPr>
                <w:sz w:val="24"/>
                <w:szCs w:val="24"/>
              </w:rPr>
            </w:pPr>
          </w:p>
        </w:tc>
      </w:tr>
      <w:tr w14:paraId="53B5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B9D57ED">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3A73F48D">
            <w:pPr>
              <w:spacing w:line="360" w:lineRule="auto"/>
              <w:jc w:val="left"/>
              <w:rPr>
                <w:rFonts w:hint="eastAsia"/>
                <w:sz w:val="21"/>
                <w:szCs w:val="21"/>
                <w:lang w:val="en-US" w:eastAsia="zh-CN"/>
              </w:rPr>
            </w:pPr>
          </w:p>
          <w:p w14:paraId="6BA2D56A">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76A1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E38042D">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40777519">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2CB593E">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67D7DC93">
      <w:pPr>
        <w:jc w:val="center"/>
        <w:rPr>
          <w:rFonts w:hint="eastAsia"/>
          <w:sz w:val="24"/>
          <w:szCs w:val="24"/>
        </w:rPr>
      </w:pPr>
      <w:r>
        <w:rPr>
          <w:rFonts w:hint="eastAsia"/>
          <w:sz w:val="24"/>
          <w:szCs w:val="24"/>
        </w:rPr>
        <w:t xml:space="preserve">                                                                              </w:t>
      </w:r>
    </w:p>
    <w:p w14:paraId="75878CD3">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510AAD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545FA5A8">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13D39E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27479F2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761F2B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316223E3">
      <w:pPr>
        <w:spacing w:line="440" w:lineRule="exact"/>
        <w:rPr>
          <w:rFonts w:hint="eastAsia"/>
          <w:b/>
          <w:bCs/>
          <w:color w:val="0000FF"/>
          <w:sz w:val="21"/>
          <w:szCs w:val="21"/>
        </w:rPr>
      </w:pPr>
      <w:r>
        <w:rPr>
          <w:rFonts w:hint="eastAsia"/>
          <w:b/>
          <w:bCs/>
          <w:color w:val="0000FF"/>
          <w:sz w:val="21"/>
          <w:szCs w:val="21"/>
        </w:rPr>
        <w:t>报价供应商须同时提供以下资料：</w:t>
      </w:r>
    </w:p>
    <w:p w14:paraId="41CDD77B">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61C50AFB">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2F24D45F">
      <w:pPr>
        <w:numPr>
          <w:ilvl w:val="0"/>
          <w:numId w:val="1"/>
        </w:numPr>
        <w:spacing w:line="440" w:lineRule="exact"/>
        <w:rPr>
          <w:rFonts w:hint="eastAsia"/>
          <w:b/>
          <w:bCs/>
          <w:color w:val="0000FF"/>
          <w:sz w:val="21"/>
          <w:szCs w:val="21"/>
        </w:rPr>
        <w:sectPr>
          <w:pgSz w:w="11906" w:h="16838"/>
          <w:pgMar w:top="1440" w:right="1800" w:bottom="1440" w:left="1800" w:header="851" w:footer="992" w:gutter="0"/>
          <w:cols w:space="425" w:num="1"/>
          <w:docGrid w:type="lines" w:linePitch="312" w:charSpace="0"/>
        </w:sect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tbl>
      <w:tblPr>
        <w:tblStyle w:val="9"/>
        <w:tblpPr w:leftFromText="180" w:rightFromText="180" w:vertAnchor="page" w:horzAnchor="page" w:tblpX="1576" w:tblpY="3248"/>
        <w:tblOverlap w:val="never"/>
        <w:tblW w:w="48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298"/>
        <w:gridCol w:w="1340"/>
        <w:gridCol w:w="817"/>
        <w:gridCol w:w="1531"/>
        <w:gridCol w:w="758"/>
        <w:gridCol w:w="1893"/>
        <w:gridCol w:w="1796"/>
        <w:gridCol w:w="1221"/>
        <w:gridCol w:w="980"/>
        <w:gridCol w:w="841"/>
        <w:gridCol w:w="803"/>
      </w:tblGrid>
      <w:tr w14:paraId="5405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2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D4567">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序号</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5BD5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项目名称</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31F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人份成本（包含开展项目所需的试剂、耗材、耗品、定标液、清洗液、质控品等全部成本支出） 元/人份</w:t>
            </w:r>
          </w:p>
        </w:tc>
        <w:tc>
          <w:tcPr>
            <w:tcW w:w="384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CB6980">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耗材信息</w:t>
            </w:r>
          </w:p>
        </w:tc>
      </w:tr>
      <w:tr w14:paraId="702B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8" w:hRule="atLeast"/>
        </w:trPr>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5A012">
            <w:pPr>
              <w:jc w:val="center"/>
              <w:rPr>
                <w:rFonts w:hint="eastAsia" w:ascii="仿宋_GB2312" w:hAnsi="宋体" w:eastAsia="仿宋_GB2312" w:cs="仿宋_GB2312"/>
                <w:i w:val="0"/>
                <w:iCs w:val="0"/>
                <w:color w:val="000000"/>
                <w:sz w:val="20"/>
                <w:szCs w:val="20"/>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10354">
            <w:pPr>
              <w:jc w:val="center"/>
              <w:rPr>
                <w:rFonts w:hint="eastAsia" w:ascii="仿宋_GB2312" w:hAnsi="宋体" w:eastAsia="仿宋_GB2312" w:cs="仿宋_GB2312"/>
                <w:i w:val="0"/>
                <w:iCs w:val="0"/>
                <w:color w:val="000000"/>
                <w:sz w:val="20"/>
                <w:szCs w:val="20"/>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6F41D">
            <w:pPr>
              <w:jc w:val="center"/>
              <w:rPr>
                <w:rFonts w:hint="eastAsia" w:ascii="仿宋_GB2312" w:hAnsi="宋体" w:eastAsia="仿宋_GB2312" w:cs="仿宋_GB2312"/>
                <w:i w:val="0"/>
                <w:iCs w:val="0"/>
                <w:color w:val="000000"/>
                <w:sz w:val="20"/>
                <w:szCs w:val="20"/>
                <w:highlight w:val="none"/>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BF0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主要试剂品牌</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55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产品名称</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8CA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规格型号</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44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医疗器械注册证号</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A65F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国家医保医用耗材编码（27位）</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E3E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省联盟限价（元）</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A7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投标报价（元）</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D5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是否专机专用试剂耗材</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76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进口/国产</w:t>
            </w:r>
          </w:p>
        </w:tc>
      </w:tr>
      <w:tr w14:paraId="2C87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8"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3C6A">
            <w:pPr>
              <w:jc w:val="center"/>
              <w:rPr>
                <w:rFonts w:hint="eastAsia" w:ascii="仿宋_GB2312" w:hAnsi="宋体" w:eastAsia="仿宋_GB2312" w:cs="仿宋_GB2312"/>
                <w:i w:val="0"/>
                <w:iCs w:val="0"/>
                <w:color w:val="FFFFFF" w:themeColor="background1"/>
                <w:sz w:val="20"/>
                <w:szCs w:val="20"/>
                <w:u w:val="none"/>
                <w:lang w:val="en-US" w:eastAsia="zh-CN"/>
              </w:rPr>
            </w:pPr>
            <w:r>
              <w:rPr>
                <w:rFonts w:hint="eastAsia" w:ascii="仿宋_GB2312" w:hAnsi="宋体" w:eastAsia="仿宋_GB2312" w:cs="仿宋_GB2312"/>
                <w:i w:val="0"/>
                <w:iCs w:val="0"/>
                <w:color w:val="000000" w:themeColor="text1"/>
                <w:sz w:val="20"/>
                <w:szCs w:val="20"/>
                <w:u w:val="none"/>
                <w:lang w:val="en-US" w:eastAsia="zh-CN"/>
              </w:rPr>
              <w:t>1</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CD6C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血栓弹力图试验(TEG)</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2AA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235E">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highlight w:val="none"/>
                <w:u w:val="none"/>
                <w:lang w:val="en-US" w:eastAsia="zh-CN" w:bidi="ar"/>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49713">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9D83">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FD5A">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F487">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684B1">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7943">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F5A9">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1DC8">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r>
      <w:tr w14:paraId="17680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4"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1878">
            <w:pPr>
              <w:jc w:val="center"/>
              <w:rPr>
                <w:rFonts w:hint="eastAsia" w:ascii="仿宋_GB2312" w:hAnsi="宋体" w:eastAsia="仿宋_GB2312" w:cs="仿宋_GB2312"/>
                <w:i w:val="0"/>
                <w:iCs w:val="0"/>
                <w:color w:val="000000" w:themeColor="text1"/>
                <w:sz w:val="20"/>
                <w:szCs w:val="20"/>
                <w:u w:val="none"/>
                <w:lang w:val="en-US" w:eastAsia="zh-CN"/>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F647">
            <w:pPr>
              <w:jc w:val="center"/>
              <w:rPr>
                <w:rFonts w:hint="eastAsia" w:ascii="仿宋_GB2312" w:hAnsi="宋体" w:eastAsia="仿宋_GB2312" w:cs="仿宋_GB2312"/>
                <w:i w:val="0"/>
                <w:iCs w:val="0"/>
                <w:color w:val="000000" w:themeColor="text1"/>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7E5B">
            <w:pPr>
              <w:jc w:val="center"/>
              <w:rPr>
                <w:rFonts w:hint="eastAsia" w:ascii="仿宋_GB2312" w:hAnsi="宋体" w:eastAsia="仿宋_GB2312" w:cs="仿宋_GB2312"/>
                <w:i w:val="0"/>
                <w:iCs w:val="0"/>
                <w:color w:val="FFFFFF" w:themeColor="background1"/>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4E312">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384E">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47DC">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E3C5">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765D">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4264">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270B">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91C2">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A564">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r>
    </w:tbl>
    <w:p w14:paraId="4E1E5636">
      <w:pPr>
        <w:pStyle w:val="3"/>
        <w:ind w:left="0" w:leftChars="0" w:firstLine="0" w:firstLineChars="0"/>
        <w:rPr>
          <w:rFonts w:hint="eastAsia"/>
        </w:rPr>
      </w:pPr>
    </w:p>
    <w:p w14:paraId="5FF6D661">
      <w:pPr>
        <w:jc w:val="center"/>
        <w:rPr>
          <w:rFonts w:hint="eastAsia" w:ascii="宋体" w:hAnsi="宋体" w:eastAsia="宋体" w:cs="宋体"/>
          <w:sz w:val="52"/>
          <w:szCs w:val="52"/>
          <w:lang w:val="en-US" w:eastAsia="zh-CN"/>
        </w:rPr>
      </w:pPr>
      <w:r>
        <w:rPr>
          <w:rFonts w:hint="eastAsia" w:ascii="宋体" w:hAnsi="宋体" w:eastAsia="宋体" w:cs="宋体"/>
          <w:sz w:val="52"/>
          <w:szCs w:val="52"/>
          <w:lang w:val="en-US" w:eastAsia="zh-CN"/>
        </w:rPr>
        <w:t>全自动血栓弹力图仪项目耗材报价单</w:t>
      </w:r>
    </w:p>
    <w:p w14:paraId="4CDDCEE0">
      <w:pPr>
        <w:jc w:val="both"/>
        <w:rPr>
          <w:rFonts w:hint="eastAsia"/>
          <w:b/>
          <w:bCs/>
          <w:color w:val="0000FF"/>
          <w:sz w:val="24"/>
        </w:rPr>
        <w:sectPr>
          <w:pgSz w:w="16838" w:h="11906" w:orient="landscape"/>
          <w:pgMar w:top="1800" w:right="1440" w:bottom="1800" w:left="1440" w:header="851" w:footer="992" w:gutter="0"/>
          <w:cols w:space="425" w:num="1"/>
          <w:docGrid w:type="lines" w:linePitch="312" w:charSpace="0"/>
        </w:sectPr>
      </w:pPr>
    </w:p>
    <w:p w14:paraId="2B2B4E9C">
      <w:pPr>
        <w:jc w:val="center"/>
        <w:rPr>
          <w:b/>
          <w:sz w:val="32"/>
          <w:szCs w:val="32"/>
        </w:rPr>
      </w:pPr>
      <w:r>
        <w:rPr>
          <w:rFonts w:hint="eastAsia"/>
          <w:b/>
          <w:sz w:val="32"/>
          <w:szCs w:val="32"/>
        </w:rPr>
        <w:t>参数偏离情况表</w:t>
      </w:r>
    </w:p>
    <w:p w14:paraId="6CA45F49">
      <w:pPr>
        <w:spacing w:line="440" w:lineRule="exact"/>
        <w:rPr>
          <w:b/>
          <w:bCs/>
          <w:sz w:val="24"/>
        </w:rPr>
      </w:pPr>
      <w:r>
        <w:rPr>
          <w:rFonts w:hint="eastAsia"/>
          <w:b/>
          <w:bCs/>
          <w:sz w:val="24"/>
        </w:rPr>
        <w:t>填写要求：</w:t>
      </w:r>
    </w:p>
    <w:p w14:paraId="65F726E8">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55A415CE">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5648DA68">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101FB271">
      <w:pPr>
        <w:spacing w:line="380" w:lineRule="exact"/>
        <w:rPr>
          <w:rFonts w:ascii="宋体" w:hAnsi="宋体"/>
          <w:color w:val="000000"/>
          <w:szCs w:val="21"/>
        </w:rPr>
      </w:pPr>
    </w:p>
    <w:p w14:paraId="218828AE">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1E05516">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6F92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64613DA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0FDF53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0C60209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73F9F9C9">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918B16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A3CCA0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17DD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487889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9F88A6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922D37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2B602F4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A98FC99">
            <w:pPr>
              <w:widowControl/>
              <w:spacing w:line="440" w:lineRule="exact"/>
              <w:rPr>
                <w:rFonts w:ascii="宋体" w:hAnsi="宋体" w:cs="宋体"/>
                <w:bCs/>
                <w:sz w:val="18"/>
                <w:szCs w:val="18"/>
              </w:rPr>
            </w:pPr>
          </w:p>
        </w:tc>
      </w:tr>
      <w:tr w14:paraId="5822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BAF9CDB">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A4A4F43">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4678A24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D789A31">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9996EB2">
            <w:pPr>
              <w:widowControl/>
              <w:spacing w:line="440" w:lineRule="exact"/>
              <w:rPr>
                <w:rFonts w:ascii="宋体" w:hAnsi="宋体" w:cs="宋体"/>
                <w:bCs/>
                <w:sz w:val="18"/>
                <w:szCs w:val="18"/>
              </w:rPr>
            </w:pPr>
          </w:p>
        </w:tc>
      </w:tr>
      <w:tr w14:paraId="693C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3C4321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1CA752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26095DC1">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4A986CBC">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E219EB7">
            <w:pPr>
              <w:widowControl/>
              <w:spacing w:line="440" w:lineRule="exact"/>
              <w:rPr>
                <w:rFonts w:ascii="宋体" w:hAnsi="宋体" w:cs="宋体"/>
                <w:bCs/>
                <w:sz w:val="18"/>
                <w:szCs w:val="18"/>
              </w:rPr>
            </w:pPr>
          </w:p>
        </w:tc>
      </w:tr>
      <w:tr w14:paraId="58BB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5744C7E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037F4E6">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AD4BD9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1D1A958">
            <w:pPr>
              <w:widowControl/>
              <w:spacing w:line="440" w:lineRule="exact"/>
              <w:jc w:val="center"/>
              <w:rPr>
                <w:rFonts w:ascii="宋体" w:hAnsi="宋体" w:cs="宋体"/>
                <w:bCs/>
                <w:sz w:val="18"/>
                <w:szCs w:val="18"/>
              </w:rPr>
            </w:pPr>
          </w:p>
        </w:tc>
        <w:tc>
          <w:tcPr>
            <w:tcW w:w="1669" w:type="dxa"/>
            <w:shd w:val="clear" w:color="000000" w:fill="FFFFFF"/>
            <w:noWrap/>
            <w:vAlign w:val="center"/>
          </w:tcPr>
          <w:p w14:paraId="0815D3D3">
            <w:pPr>
              <w:widowControl/>
              <w:spacing w:line="440" w:lineRule="exact"/>
              <w:rPr>
                <w:rFonts w:ascii="宋体" w:hAnsi="宋体" w:cs="宋体"/>
                <w:bCs/>
                <w:sz w:val="18"/>
                <w:szCs w:val="18"/>
              </w:rPr>
            </w:pPr>
          </w:p>
        </w:tc>
      </w:tr>
      <w:tr w14:paraId="2A40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73A51B62">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F64B09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B6DD3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A3C99E8">
            <w:pPr>
              <w:spacing w:line="440" w:lineRule="exact"/>
              <w:jc w:val="center"/>
              <w:rPr>
                <w:rFonts w:ascii="宋体" w:hAnsi="宋体" w:cs="宋体"/>
                <w:bCs/>
                <w:sz w:val="18"/>
                <w:szCs w:val="18"/>
              </w:rPr>
            </w:pPr>
          </w:p>
        </w:tc>
        <w:tc>
          <w:tcPr>
            <w:tcW w:w="1669" w:type="dxa"/>
            <w:shd w:val="clear" w:color="000000" w:fill="FFFFFF"/>
            <w:noWrap/>
            <w:vAlign w:val="center"/>
          </w:tcPr>
          <w:p w14:paraId="26FED0E1">
            <w:pPr>
              <w:widowControl/>
              <w:spacing w:line="440" w:lineRule="exact"/>
              <w:rPr>
                <w:rFonts w:ascii="宋体" w:hAnsi="宋体" w:cs="宋体"/>
                <w:bCs/>
                <w:sz w:val="18"/>
                <w:szCs w:val="18"/>
              </w:rPr>
            </w:pPr>
          </w:p>
        </w:tc>
      </w:tr>
      <w:tr w14:paraId="04BC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CB022B2">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E5DB20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4E2EF7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5D5982DA">
            <w:pPr>
              <w:spacing w:line="440" w:lineRule="exact"/>
              <w:jc w:val="center"/>
              <w:rPr>
                <w:rFonts w:ascii="宋体" w:hAnsi="宋体" w:cs="宋体"/>
                <w:bCs/>
                <w:sz w:val="18"/>
                <w:szCs w:val="18"/>
              </w:rPr>
            </w:pPr>
          </w:p>
        </w:tc>
        <w:tc>
          <w:tcPr>
            <w:tcW w:w="1669" w:type="dxa"/>
            <w:shd w:val="clear" w:color="000000" w:fill="FFFFFF"/>
            <w:noWrap/>
            <w:vAlign w:val="center"/>
          </w:tcPr>
          <w:p w14:paraId="7EEA7A47">
            <w:pPr>
              <w:widowControl/>
              <w:spacing w:line="440" w:lineRule="exact"/>
              <w:rPr>
                <w:rFonts w:ascii="宋体" w:hAnsi="宋体" w:cs="宋体"/>
                <w:bCs/>
                <w:sz w:val="18"/>
                <w:szCs w:val="18"/>
              </w:rPr>
            </w:pPr>
          </w:p>
        </w:tc>
      </w:tr>
      <w:tr w14:paraId="7793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5C8444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719BB2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184830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46C6856F">
            <w:pPr>
              <w:spacing w:line="440" w:lineRule="exact"/>
              <w:jc w:val="center"/>
              <w:rPr>
                <w:rFonts w:ascii="宋体" w:hAnsi="宋体" w:cs="宋体"/>
                <w:bCs/>
                <w:sz w:val="18"/>
                <w:szCs w:val="18"/>
              </w:rPr>
            </w:pPr>
          </w:p>
        </w:tc>
        <w:tc>
          <w:tcPr>
            <w:tcW w:w="1669" w:type="dxa"/>
            <w:shd w:val="clear" w:color="000000" w:fill="FFFFFF"/>
            <w:noWrap/>
            <w:vAlign w:val="center"/>
          </w:tcPr>
          <w:p w14:paraId="3BF0F6CC">
            <w:pPr>
              <w:widowControl/>
              <w:spacing w:line="440" w:lineRule="exact"/>
              <w:rPr>
                <w:rFonts w:ascii="宋体" w:hAnsi="宋体" w:cs="宋体"/>
                <w:bCs/>
                <w:sz w:val="18"/>
                <w:szCs w:val="18"/>
              </w:rPr>
            </w:pPr>
          </w:p>
        </w:tc>
      </w:tr>
    </w:tbl>
    <w:p w14:paraId="4B696918">
      <w:pPr>
        <w:spacing w:line="340" w:lineRule="exact"/>
        <w:rPr>
          <w:rFonts w:ascii="宋体"/>
          <w:sz w:val="30"/>
          <w:szCs w:val="30"/>
        </w:rPr>
      </w:pPr>
    </w:p>
    <w:p w14:paraId="4B37C7D1">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BF9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1F92812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A3DF27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01E52DC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6C5E8C43">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285AC70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1A9F8C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20C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B59D577">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7E7A03AD">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43903486">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0971C6DF">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D82F01">
            <w:pPr>
              <w:widowControl/>
              <w:spacing w:line="440" w:lineRule="exact"/>
              <w:rPr>
                <w:rFonts w:ascii="宋体" w:hAnsi="宋体" w:cs="宋体"/>
                <w:bCs/>
                <w:sz w:val="18"/>
                <w:szCs w:val="18"/>
              </w:rPr>
            </w:pPr>
          </w:p>
        </w:tc>
      </w:tr>
      <w:tr w14:paraId="4CCA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C8928A5">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736D12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F8D8E2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3BF80F3C">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9E97E10">
            <w:pPr>
              <w:widowControl/>
              <w:spacing w:line="440" w:lineRule="exact"/>
              <w:rPr>
                <w:rFonts w:ascii="宋体" w:hAnsi="宋体" w:cs="宋体"/>
                <w:bCs/>
                <w:sz w:val="18"/>
                <w:szCs w:val="18"/>
              </w:rPr>
            </w:pPr>
          </w:p>
        </w:tc>
      </w:tr>
      <w:tr w14:paraId="1BD7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F104B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EA46B81">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32A46D7">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4422B8C4">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7735D74">
            <w:pPr>
              <w:widowControl/>
              <w:spacing w:line="440" w:lineRule="exact"/>
              <w:rPr>
                <w:rFonts w:ascii="宋体" w:hAnsi="宋体" w:cs="宋体"/>
                <w:bCs/>
                <w:sz w:val="18"/>
                <w:szCs w:val="18"/>
              </w:rPr>
            </w:pPr>
          </w:p>
        </w:tc>
      </w:tr>
      <w:tr w14:paraId="7F71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1BE7AA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9025D23">
            <w:pPr>
              <w:widowControl/>
              <w:spacing w:line="440" w:lineRule="exact"/>
              <w:jc w:val="center"/>
              <w:rPr>
                <w:rFonts w:ascii="宋体" w:hAnsi="宋体" w:cs="宋体"/>
                <w:bCs/>
                <w:sz w:val="18"/>
                <w:szCs w:val="18"/>
              </w:rPr>
            </w:pPr>
          </w:p>
        </w:tc>
        <w:tc>
          <w:tcPr>
            <w:tcW w:w="4638" w:type="dxa"/>
            <w:shd w:val="clear" w:color="000000" w:fill="FFFFFF"/>
            <w:noWrap/>
            <w:vAlign w:val="center"/>
          </w:tcPr>
          <w:p w14:paraId="3349F61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8DEA6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BE0094B">
            <w:pPr>
              <w:widowControl/>
              <w:spacing w:line="440" w:lineRule="exact"/>
              <w:rPr>
                <w:rFonts w:ascii="宋体" w:hAnsi="宋体" w:cs="宋体"/>
                <w:bCs/>
                <w:sz w:val="18"/>
                <w:szCs w:val="18"/>
              </w:rPr>
            </w:pPr>
          </w:p>
        </w:tc>
      </w:tr>
      <w:tr w14:paraId="5784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1FB821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35B116B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3C3C44E">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2B72840A">
            <w:pPr>
              <w:spacing w:line="440" w:lineRule="exact"/>
              <w:jc w:val="center"/>
              <w:rPr>
                <w:rFonts w:ascii="宋体" w:hAnsi="宋体" w:cs="宋体"/>
                <w:bCs/>
                <w:sz w:val="18"/>
                <w:szCs w:val="18"/>
              </w:rPr>
            </w:pPr>
          </w:p>
        </w:tc>
        <w:tc>
          <w:tcPr>
            <w:tcW w:w="1669" w:type="dxa"/>
            <w:shd w:val="clear" w:color="000000" w:fill="FFFFFF"/>
            <w:noWrap/>
            <w:vAlign w:val="center"/>
          </w:tcPr>
          <w:p w14:paraId="165C31E6">
            <w:pPr>
              <w:widowControl/>
              <w:spacing w:line="440" w:lineRule="exact"/>
              <w:rPr>
                <w:rFonts w:ascii="宋体" w:hAnsi="宋体" w:cs="宋体"/>
                <w:bCs/>
                <w:sz w:val="18"/>
                <w:szCs w:val="18"/>
              </w:rPr>
            </w:pPr>
          </w:p>
        </w:tc>
      </w:tr>
      <w:tr w14:paraId="31D3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0A7FFB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CD670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E2A126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23431D90">
            <w:pPr>
              <w:spacing w:line="440" w:lineRule="exact"/>
              <w:jc w:val="center"/>
              <w:rPr>
                <w:rFonts w:ascii="宋体" w:hAnsi="宋体" w:cs="宋体"/>
                <w:bCs/>
                <w:sz w:val="18"/>
                <w:szCs w:val="18"/>
              </w:rPr>
            </w:pPr>
          </w:p>
        </w:tc>
        <w:tc>
          <w:tcPr>
            <w:tcW w:w="1669" w:type="dxa"/>
            <w:shd w:val="clear" w:color="000000" w:fill="FFFFFF"/>
            <w:noWrap/>
            <w:vAlign w:val="center"/>
          </w:tcPr>
          <w:p w14:paraId="30A52530">
            <w:pPr>
              <w:widowControl/>
              <w:spacing w:line="440" w:lineRule="exact"/>
              <w:rPr>
                <w:rFonts w:ascii="宋体" w:hAnsi="宋体" w:cs="宋体"/>
                <w:bCs/>
                <w:sz w:val="18"/>
                <w:szCs w:val="18"/>
              </w:rPr>
            </w:pPr>
          </w:p>
        </w:tc>
      </w:tr>
      <w:tr w14:paraId="23E4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45A6E5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D617BDA">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EB3104B">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C433F62">
            <w:pPr>
              <w:spacing w:line="440" w:lineRule="exact"/>
              <w:jc w:val="center"/>
              <w:rPr>
                <w:rFonts w:ascii="宋体" w:hAnsi="宋体" w:cs="宋体"/>
                <w:bCs/>
                <w:sz w:val="18"/>
                <w:szCs w:val="18"/>
              </w:rPr>
            </w:pPr>
          </w:p>
        </w:tc>
        <w:tc>
          <w:tcPr>
            <w:tcW w:w="1669" w:type="dxa"/>
            <w:shd w:val="clear" w:color="000000" w:fill="FFFFFF"/>
            <w:noWrap/>
            <w:vAlign w:val="center"/>
          </w:tcPr>
          <w:p w14:paraId="065CA92B">
            <w:pPr>
              <w:widowControl/>
              <w:spacing w:line="440" w:lineRule="exact"/>
              <w:rPr>
                <w:rFonts w:ascii="宋体" w:hAnsi="宋体" w:cs="宋体"/>
                <w:bCs/>
                <w:sz w:val="18"/>
                <w:szCs w:val="18"/>
              </w:rPr>
            </w:pPr>
          </w:p>
        </w:tc>
      </w:tr>
    </w:tbl>
    <w:p w14:paraId="18F8F699">
      <w:pPr>
        <w:tabs>
          <w:tab w:val="left" w:pos="720"/>
        </w:tabs>
        <w:spacing w:line="340" w:lineRule="exact"/>
        <w:jc w:val="left"/>
        <w:rPr>
          <w:rFonts w:ascii="宋体" w:hAnsi="宋体"/>
          <w:b/>
          <w:bCs/>
          <w:sz w:val="30"/>
          <w:szCs w:val="30"/>
        </w:rPr>
      </w:pPr>
    </w:p>
    <w:p w14:paraId="3EE1EF56">
      <w:pPr>
        <w:spacing w:line="440" w:lineRule="exact"/>
        <w:rPr>
          <w:rFonts w:ascii="宋体" w:hAnsi="宋体"/>
          <w:sz w:val="24"/>
        </w:rPr>
      </w:pPr>
    </w:p>
    <w:p w14:paraId="1802006E">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5611152">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25FB5D0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3AFEB7D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28BB6C4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210342BD">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5D5CE763">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7C8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441C0BD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436744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5B1EC40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239A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3B593996">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血栓弹力图仪</w:t>
            </w:r>
          </w:p>
        </w:tc>
        <w:tc>
          <w:tcPr>
            <w:tcW w:w="2268" w:type="dxa"/>
          </w:tcPr>
          <w:p w14:paraId="2EE4BCBB">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麻醉科</w:t>
            </w:r>
          </w:p>
        </w:tc>
        <w:tc>
          <w:tcPr>
            <w:tcW w:w="2508" w:type="dxa"/>
          </w:tcPr>
          <w:p w14:paraId="6C093473">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default" w:ascii="仿宋" w:hAnsi="仿宋" w:eastAsia="仿宋" w:cs="仿宋"/>
          <w:color w:val="000000" w:themeColor="text1"/>
          <w:sz w:val="24"/>
          <w:lang w:val="en-US" w:eastAsia="zh-CN"/>
        </w:rPr>
        <w:t>血栓弹力图仪</w:t>
      </w:r>
    </w:p>
    <w:p w14:paraId="1E29A9C6">
      <w:pPr>
        <w:spacing w:line="440" w:lineRule="exact"/>
        <w:rPr>
          <w:rFonts w:ascii="仿宋" w:hAnsi="仿宋" w:eastAsia="仿宋" w:cs="仿宋"/>
          <w:color w:val="000000" w:themeColor="text1"/>
          <w:sz w:val="24"/>
        </w:rPr>
      </w:pPr>
    </w:p>
    <w:p w14:paraId="01316140">
      <w:pPr>
        <w:spacing w:line="440" w:lineRule="exact"/>
        <w:rPr>
          <w:rFonts w:ascii="仿宋" w:hAnsi="仿宋" w:eastAsia="仿宋" w:cs="仿宋"/>
          <w:color w:val="000000" w:themeColor="text1"/>
          <w:sz w:val="24"/>
          <w:highlight w:val="yellow"/>
        </w:rPr>
      </w:pPr>
      <w:r>
        <w:rPr>
          <w:rFonts w:hint="eastAsia" w:ascii="仿宋" w:hAnsi="仿宋" w:eastAsia="仿宋" w:cs="仿宋"/>
          <w:color w:val="000000" w:themeColor="text1"/>
          <w:sz w:val="24"/>
          <w:highlight w:val="none"/>
        </w:rPr>
        <w:t>用途：</w:t>
      </w:r>
      <w:r>
        <w:rPr>
          <w:rFonts w:hint="eastAsia" w:ascii="仿宋" w:hAnsi="仿宋" w:eastAsia="仿宋" w:cs="仿宋"/>
          <w:color w:val="000000"/>
          <w:sz w:val="24"/>
          <w:highlight w:val="none"/>
        </w:rPr>
        <w:t>用</w:t>
      </w:r>
      <w:r>
        <w:rPr>
          <w:rFonts w:hint="eastAsia" w:ascii="仿宋" w:hAnsi="仿宋" w:eastAsia="仿宋" w:cs="仿宋"/>
          <w:color w:val="000000"/>
          <w:sz w:val="24"/>
        </w:rPr>
        <w:t>于指导临床成分输血和相关药物使用、多种情况下即时的凝血监测、预测静脉血栓风险</w:t>
      </w:r>
      <w:r>
        <w:rPr>
          <w:rFonts w:hint="eastAsia" w:ascii="仿宋" w:hAnsi="仿宋" w:eastAsia="仿宋" w:cs="仿宋"/>
          <w:color w:val="000000"/>
          <w:sz w:val="24"/>
          <w:lang w:val="en-US" w:eastAsia="zh-CN"/>
        </w:rPr>
        <w:t>等</w:t>
      </w:r>
      <w:r>
        <w:rPr>
          <w:rFonts w:hint="eastAsia" w:ascii="仿宋" w:hAnsi="仿宋" w:eastAsia="仿宋" w:cs="仿宋"/>
          <w:color w:val="000000"/>
          <w:sz w:val="24"/>
          <w:lang w:eastAsia="zh-CN"/>
        </w:rPr>
        <w:t>。</w:t>
      </w:r>
      <w:bookmarkStart w:id="0" w:name="_GoBack"/>
      <w:bookmarkEnd w:id="0"/>
    </w:p>
    <w:p w14:paraId="560CF638">
      <w:pPr>
        <w:spacing w:line="440" w:lineRule="exact"/>
        <w:rPr>
          <w:rFonts w:ascii="仿宋" w:hAnsi="仿宋" w:eastAsia="仿宋" w:cs="仿宋"/>
          <w:b/>
          <w:color w:val="000000" w:themeColor="text1"/>
          <w:sz w:val="24"/>
        </w:rPr>
      </w:pPr>
    </w:p>
    <w:p w14:paraId="230304B9">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01ABEA72">
      <w:pPr>
        <w:spacing w:line="360" w:lineRule="auto"/>
        <w:rPr>
          <w:rFonts w:ascii="仿宋" w:hAnsi="仿宋" w:eastAsia="仿宋" w:cs="仿宋"/>
          <w:b w:val="0"/>
          <w:bCs w:val="0"/>
          <w:color w:val="000000"/>
          <w:sz w:val="24"/>
        </w:rPr>
      </w:pPr>
      <w:r>
        <w:rPr>
          <w:rFonts w:hint="eastAsia" w:ascii="仿宋" w:hAnsi="仿宋" w:eastAsia="仿宋" w:cs="仿宋"/>
          <w:b w:val="0"/>
          <w:bCs w:val="0"/>
          <w:color w:val="000000"/>
          <w:sz w:val="24"/>
        </w:rPr>
        <w:t>1.检测</w:t>
      </w:r>
      <w:r>
        <w:rPr>
          <w:rFonts w:hint="eastAsia" w:ascii="仿宋" w:hAnsi="仿宋" w:eastAsia="仿宋" w:cs="仿宋"/>
          <w:b w:val="0"/>
          <w:bCs w:val="0"/>
          <w:color w:val="000000"/>
          <w:sz w:val="24"/>
          <w:highlight w:val="none"/>
        </w:rPr>
        <w:t>通道</w:t>
      </w:r>
      <w:r>
        <w:rPr>
          <w:rFonts w:hint="eastAsia" w:ascii="仿宋" w:hAnsi="仿宋" w:eastAsia="仿宋" w:cs="仿宋"/>
          <w:b w:val="0"/>
          <w:bCs w:val="0"/>
          <w:color w:val="000000"/>
          <w:sz w:val="24"/>
          <w:highlight w:val="none"/>
          <w:lang w:val="en-US" w:eastAsia="zh-CN"/>
        </w:rPr>
        <w:t>≥</w:t>
      </w:r>
      <w:r>
        <w:rPr>
          <w:rFonts w:hint="eastAsia" w:ascii="仿宋" w:hAnsi="仿宋" w:eastAsia="仿宋" w:cs="仿宋"/>
          <w:b w:val="0"/>
          <w:bCs w:val="0"/>
          <w:color w:val="000000"/>
          <w:sz w:val="24"/>
          <w:highlight w:val="none"/>
        </w:rPr>
        <w:t>4个，采</w:t>
      </w:r>
      <w:r>
        <w:rPr>
          <w:rFonts w:hint="eastAsia" w:ascii="仿宋" w:hAnsi="仿宋" w:eastAsia="仿宋" w:cs="仿宋"/>
          <w:b w:val="0"/>
          <w:bCs w:val="0"/>
          <w:color w:val="000000"/>
          <w:sz w:val="24"/>
        </w:rPr>
        <w:t>用非接触式磁角度检测原理。</w:t>
      </w:r>
    </w:p>
    <w:p w14:paraId="3B4DDB4D">
      <w:pPr>
        <w:spacing w:line="360" w:lineRule="auto"/>
        <w:rPr>
          <w:rFonts w:ascii="仿宋" w:hAnsi="仿宋" w:eastAsia="仿宋" w:cs="仿宋"/>
          <w:b w:val="0"/>
          <w:bCs w:val="0"/>
          <w:color w:val="000000"/>
          <w:sz w:val="24"/>
        </w:rPr>
      </w:pPr>
      <w:r>
        <w:rPr>
          <w:rFonts w:hint="eastAsia" w:ascii="仿宋" w:hAnsi="仿宋" w:eastAsia="仿宋" w:cs="仿宋"/>
          <w:b w:val="0"/>
          <w:bCs w:val="0"/>
          <w:color w:val="000000"/>
          <w:sz w:val="24"/>
        </w:rPr>
        <w:t>2.需要使用标准电源，工作电压220V，误差±10%。</w:t>
      </w:r>
    </w:p>
    <w:p w14:paraId="34E2E22E">
      <w:pPr>
        <w:spacing w:line="360" w:lineRule="auto"/>
        <w:rPr>
          <w:rFonts w:ascii="仿宋" w:hAnsi="仿宋" w:eastAsia="仿宋" w:cs="仿宋"/>
          <w:b w:val="0"/>
          <w:bCs w:val="0"/>
          <w:color w:val="000000"/>
          <w:sz w:val="24"/>
        </w:rPr>
      </w:pPr>
      <w:r>
        <w:rPr>
          <w:rFonts w:hint="eastAsia" w:ascii="仿宋" w:hAnsi="仿宋" w:eastAsia="仿宋" w:cs="仿宋"/>
          <w:b w:val="0"/>
          <w:bCs w:val="0"/>
          <w:color w:val="000000"/>
          <w:sz w:val="24"/>
        </w:rPr>
        <w:t>3.能够通过凝血纤溶全貌的描记，能在一次检测中完成对凝血因子功能、纤维蛋白原功能、血小板功能、纤维蛋白溶解功能的检测，分析患者术前和术中患者凝血功能的变化监测（能够区分正常、高凝、低凝），快速诊断DIC，区分原发性纤溶亢进和继发性纤溶亢进，指导各类血制品的使用。</w:t>
      </w:r>
    </w:p>
    <w:p w14:paraId="7F0BDAF2">
      <w:pPr>
        <w:spacing w:line="360" w:lineRule="auto"/>
        <w:rPr>
          <w:rFonts w:ascii="仿宋" w:hAnsi="仿宋" w:eastAsia="仿宋" w:cs="仿宋"/>
          <w:b w:val="0"/>
          <w:bCs w:val="0"/>
          <w:color w:val="000000"/>
          <w:sz w:val="24"/>
        </w:rPr>
      </w:pPr>
      <w:r>
        <w:rPr>
          <w:rFonts w:hint="eastAsia" w:ascii="仿宋" w:hAnsi="仿宋" w:eastAsia="仿宋" w:cs="仿宋"/>
          <w:b w:val="0"/>
          <w:bCs w:val="0"/>
          <w:color w:val="000000"/>
          <w:sz w:val="24"/>
        </w:rPr>
        <w:t>4.检测功能需要包括高岭土检测方法（凝固法）、肝素酶杯检测方法、血小板图检测方法（凝固法）、快速TEG检测方法（凝固法）。</w:t>
      </w:r>
    </w:p>
    <w:p w14:paraId="04DB66C3">
      <w:pPr>
        <w:spacing w:line="360" w:lineRule="auto"/>
        <w:rPr>
          <w:rFonts w:ascii="仿宋" w:hAnsi="仿宋" w:eastAsia="仿宋" w:cs="仿宋"/>
          <w:b w:val="0"/>
          <w:bCs w:val="0"/>
          <w:color w:val="000000"/>
          <w:sz w:val="24"/>
        </w:rPr>
      </w:pPr>
      <w:r>
        <w:rPr>
          <w:rFonts w:hint="eastAsia" w:ascii="仿宋" w:hAnsi="仿宋" w:eastAsia="仿宋" w:cs="仿宋"/>
          <w:b w:val="0"/>
          <w:bCs w:val="0"/>
          <w:color w:val="000000"/>
          <w:sz w:val="24"/>
        </w:rPr>
        <w:t>5.检测通道间CV≤6%</w:t>
      </w:r>
    </w:p>
    <w:p w14:paraId="7001E93B">
      <w:pPr>
        <w:spacing w:line="360" w:lineRule="auto"/>
        <w:rPr>
          <w:rFonts w:ascii="仿宋" w:hAnsi="仿宋" w:eastAsia="仿宋" w:cs="仿宋"/>
          <w:b w:val="0"/>
          <w:bCs w:val="0"/>
          <w:color w:val="000000"/>
          <w:sz w:val="24"/>
        </w:rPr>
      </w:pPr>
      <w:r>
        <w:rPr>
          <w:rFonts w:hint="eastAsia" w:ascii="仿宋" w:hAnsi="仿宋" w:eastAsia="仿宋" w:cs="仿宋"/>
          <w:b w:val="0"/>
          <w:bCs w:val="0"/>
          <w:color w:val="000000"/>
          <w:sz w:val="24"/>
        </w:rPr>
        <w:t>6.</w:t>
      </w:r>
      <w:r>
        <w:rPr>
          <w:rFonts w:ascii="仿宋" w:hAnsi="仿宋" w:eastAsia="仿宋" w:cs="仿宋"/>
          <w:b w:val="0"/>
          <w:bCs w:val="0"/>
          <w:color w:val="000000"/>
          <w:sz w:val="24"/>
        </w:rPr>
        <w:t xml:space="preserve"> </w:t>
      </w:r>
      <w:r>
        <w:rPr>
          <w:rFonts w:hint="eastAsia" w:ascii="仿宋" w:hAnsi="仿宋" w:eastAsia="仿宋" w:cs="仿宋"/>
          <w:b w:val="0"/>
          <w:bCs w:val="0"/>
          <w:color w:val="000000"/>
          <w:sz w:val="24"/>
        </w:rPr>
        <w:t>活化凝血检测试剂，α、MA参数的精密度变异系数CV≤</w:t>
      </w:r>
      <w:r>
        <w:rPr>
          <w:rFonts w:ascii="仿宋" w:hAnsi="仿宋" w:eastAsia="仿宋" w:cs="仿宋"/>
          <w:b w:val="0"/>
          <w:bCs w:val="0"/>
          <w:color w:val="000000"/>
          <w:sz w:val="24"/>
        </w:rPr>
        <w:t>10</w:t>
      </w:r>
      <w:r>
        <w:rPr>
          <w:rFonts w:hint="eastAsia" w:ascii="仿宋" w:hAnsi="仿宋" w:eastAsia="仿宋" w:cs="仿宋"/>
          <w:b w:val="0"/>
          <w:bCs w:val="0"/>
          <w:color w:val="000000"/>
          <w:sz w:val="24"/>
        </w:rPr>
        <w:t>%；</w:t>
      </w:r>
    </w:p>
    <w:p w14:paraId="145D6496">
      <w:pPr>
        <w:spacing w:line="360" w:lineRule="auto"/>
        <w:rPr>
          <w:rFonts w:ascii="仿宋" w:hAnsi="仿宋" w:eastAsia="仿宋" w:cs="仿宋"/>
          <w:b w:val="0"/>
          <w:bCs w:val="0"/>
          <w:color w:val="000000"/>
          <w:sz w:val="24"/>
        </w:rPr>
      </w:pPr>
      <w:r>
        <w:rPr>
          <w:rFonts w:hint="eastAsia" w:ascii="仿宋" w:hAnsi="仿宋" w:eastAsia="仿宋" w:cs="仿宋"/>
          <w:b w:val="0"/>
          <w:bCs w:val="0"/>
          <w:color w:val="000000"/>
          <w:sz w:val="24"/>
        </w:rPr>
        <w:t>7. 具备含有高岭土和组织因子两种成分的凝血激活试剂的快速检测，TEG ACT正常值不能超过2分钟，R、K、α、MA参数的精密度变异系数CV应≤</w:t>
      </w:r>
      <w:r>
        <w:rPr>
          <w:rFonts w:ascii="仿宋" w:hAnsi="仿宋" w:eastAsia="仿宋" w:cs="仿宋"/>
          <w:b w:val="0"/>
          <w:bCs w:val="0"/>
          <w:color w:val="000000"/>
          <w:sz w:val="24"/>
        </w:rPr>
        <w:t>10</w:t>
      </w:r>
      <w:r>
        <w:rPr>
          <w:rFonts w:hint="eastAsia" w:ascii="仿宋" w:hAnsi="仿宋" w:eastAsia="仿宋" w:cs="仿宋"/>
          <w:b w:val="0"/>
          <w:bCs w:val="0"/>
          <w:color w:val="000000"/>
          <w:sz w:val="24"/>
        </w:rPr>
        <w:t>%；</w:t>
      </w:r>
    </w:p>
    <w:p w14:paraId="5DE8948C">
      <w:pPr>
        <w:spacing w:line="360" w:lineRule="auto"/>
        <w:rPr>
          <w:rFonts w:ascii="仿宋" w:hAnsi="仿宋" w:eastAsia="仿宋" w:cs="仿宋"/>
          <w:b w:val="0"/>
          <w:bCs w:val="0"/>
          <w:color w:val="000000"/>
          <w:sz w:val="24"/>
        </w:rPr>
      </w:pPr>
      <w:r>
        <w:rPr>
          <w:rFonts w:hint="eastAsia" w:ascii="仿宋" w:hAnsi="仿宋" w:eastAsia="仿宋" w:cs="仿宋"/>
          <w:b w:val="0"/>
          <w:bCs w:val="0"/>
          <w:color w:val="000000"/>
          <w:sz w:val="24"/>
        </w:rPr>
        <w:t>8．活化凝血检测试剂和凝血激活检测试剂有效期均≥42个月。</w:t>
      </w:r>
    </w:p>
    <w:p w14:paraId="3E97B8B1">
      <w:pPr>
        <w:spacing w:line="360" w:lineRule="auto"/>
        <w:rPr>
          <w:rFonts w:ascii="仿宋" w:hAnsi="仿宋" w:eastAsia="仿宋" w:cs="仿宋"/>
          <w:b w:val="0"/>
          <w:bCs w:val="0"/>
          <w:color w:val="000000"/>
          <w:sz w:val="24"/>
        </w:rPr>
      </w:pPr>
      <w:r>
        <w:rPr>
          <w:rFonts w:hint="eastAsia" w:ascii="仿宋" w:hAnsi="仿宋" w:eastAsia="仿宋" w:cs="仿宋"/>
          <w:b w:val="0"/>
          <w:bCs w:val="0"/>
          <w:color w:val="000000"/>
          <w:sz w:val="24"/>
        </w:rPr>
        <w:t>9．能检测各种肝素的使用效果，能使用肝素酶杯进行肝素对比排除试验，指导鱼精蛋白的使用，并且测试剂盒储存有效期限不低于24个月。</w:t>
      </w:r>
    </w:p>
    <w:p w14:paraId="5D95457A">
      <w:pPr>
        <w:spacing w:line="360" w:lineRule="auto"/>
        <w:rPr>
          <w:rFonts w:ascii="仿宋" w:hAnsi="仿宋" w:eastAsia="仿宋" w:cs="仿宋"/>
          <w:b w:val="0"/>
          <w:bCs w:val="0"/>
          <w:color w:val="000000"/>
          <w:sz w:val="24"/>
        </w:rPr>
      </w:pPr>
      <w:r>
        <w:rPr>
          <w:rFonts w:hint="eastAsia" w:ascii="仿宋" w:hAnsi="仿宋" w:eastAsia="仿宋" w:cs="仿宋"/>
          <w:b w:val="0"/>
          <w:bCs w:val="0"/>
          <w:color w:val="000000"/>
          <w:sz w:val="24"/>
        </w:rPr>
        <w:t>10．具有二磷酸腺苷通路及花生四烯酸通路特异性激活剂的血小板图检测试剂，能定量评估包括氯吡格雷、阿司匹林在内的抗血小板药物疗效，血小板聚集功能检测试剂的ADP%及AA%（抑制率）变异系数≤</w:t>
      </w:r>
      <w:r>
        <w:rPr>
          <w:rFonts w:ascii="仿宋" w:hAnsi="仿宋" w:eastAsia="仿宋" w:cs="仿宋"/>
          <w:b w:val="0"/>
          <w:bCs w:val="0"/>
          <w:color w:val="000000"/>
          <w:sz w:val="24"/>
        </w:rPr>
        <w:t>10</w:t>
      </w:r>
      <w:r>
        <w:rPr>
          <w:rFonts w:hint="eastAsia" w:ascii="仿宋" w:hAnsi="仿宋" w:eastAsia="仿宋" w:cs="仿宋"/>
          <w:b w:val="0"/>
          <w:bCs w:val="0"/>
          <w:color w:val="000000"/>
          <w:sz w:val="24"/>
        </w:rPr>
        <w:t>%。</w:t>
      </w:r>
    </w:p>
    <w:p w14:paraId="429737BB">
      <w:pPr>
        <w:spacing w:line="360" w:lineRule="auto"/>
        <w:rPr>
          <w:rFonts w:ascii="仿宋" w:hAnsi="仿宋" w:eastAsia="仿宋" w:cs="仿宋"/>
          <w:b w:val="0"/>
          <w:bCs w:val="0"/>
          <w:color w:val="000000"/>
          <w:sz w:val="24"/>
        </w:rPr>
      </w:pPr>
      <w:r>
        <w:rPr>
          <w:rFonts w:hint="eastAsia" w:ascii="仿宋" w:hAnsi="仿宋" w:eastAsia="仿宋" w:cs="仿宋"/>
          <w:b w:val="0"/>
          <w:bCs w:val="0"/>
          <w:color w:val="000000"/>
          <w:sz w:val="24"/>
        </w:rPr>
        <w:t>11. 血小板聚集功能检测试剂盒储存有效期均≥21个月；</w:t>
      </w:r>
    </w:p>
    <w:p w14:paraId="3E41D5AE">
      <w:pPr>
        <w:spacing w:line="360" w:lineRule="auto"/>
        <w:rPr>
          <w:rFonts w:ascii="仿宋" w:hAnsi="仿宋" w:eastAsia="仿宋" w:cs="仿宋"/>
          <w:b w:val="0"/>
          <w:bCs w:val="0"/>
          <w:color w:val="000000"/>
          <w:sz w:val="24"/>
        </w:rPr>
      </w:pPr>
      <w:r>
        <w:rPr>
          <w:rFonts w:hint="eastAsia" w:ascii="仿宋" w:hAnsi="仿宋" w:eastAsia="仿宋" w:cs="仿宋"/>
          <w:b w:val="0"/>
          <w:bCs w:val="0"/>
          <w:color w:val="000000"/>
          <w:sz w:val="24"/>
        </w:rPr>
        <w:t>12.样本要求全血检测，不需要处理血样。枸橼酸钠全血、肝素抗凝全血每次检测全血用量0.34ml或0.36ml。</w:t>
      </w:r>
    </w:p>
    <w:p w14:paraId="7EAF3864">
      <w:pPr>
        <w:spacing w:line="360" w:lineRule="auto"/>
        <w:rPr>
          <w:rFonts w:ascii="仿宋" w:hAnsi="仿宋" w:eastAsia="仿宋" w:cs="仿宋"/>
          <w:b w:val="0"/>
          <w:bCs w:val="0"/>
          <w:color w:val="000000"/>
          <w:sz w:val="24"/>
        </w:rPr>
      </w:pPr>
      <w:r>
        <w:rPr>
          <w:rFonts w:hint="eastAsia" w:ascii="仿宋" w:hAnsi="仿宋" w:eastAsia="仿宋" w:cs="仿宋"/>
          <w:b w:val="0"/>
          <w:bCs w:val="0"/>
          <w:color w:val="000000"/>
          <w:sz w:val="24"/>
        </w:rPr>
        <w:t>13.每个通道均有独立温度控制系统，并且可以根据检测要求调节。</w:t>
      </w:r>
    </w:p>
    <w:p w14:paraId="23135FC6">
      <w:pPr>
        <w:spacing w:line="360" w:lineRule="auto"/>
        <w:rPr>
          <w:rFonts w:ascii="仿宋" w:hAnsi="仿宋" w:eastAsia="仿宋" w:cs="仿宋"/>
          <w:b w:val="0"/>
          <w:bCs w:val="0"/>
          <w:color w:val="000000"/>
          <w:sz w:val="24"/>
        </w:rPr>
      </w:pPr>
      <w:r>
        <w:rPr>
          <w:rFonts w:hint="eastAsia" w:ascii="仿宋" w:hAnsi="仿宋" w:eastAsia="仿宋" w:cs="仿宋"/>
          <w:b w:val="0"/>
          <w:bCs w:val="0"/>
          <w:color w:val="000000"/>
          <w:sz w:val="24"/>
        </w:rPr>
        <w:t>14.需要具备至少2</w:t>
      </w:r>
      <w:r>
        <w:rPr>
          <w:rFonts w:ascii="仿宋" w:hAnsi="仿宋" w:eastAsia="仿宋" w:cs="仿宋"/>
          <w:b w:val="0"/>
          <w:bCs w:val="0"/>
          <w:color w:val="000000"/>
          <w:sz w:val="24"/>
        </w:rPr>
        <w:t>0</w:t>
      </w:r>
      <w:r>
        <w:rPr>
          <w:rFonts w:hint="eastAsia" w:ascii="仿宋" w:hAnsi="仿宋" w:eastAsia="仿宋" w:cs="仿宋"/>
          <w:b w:val="0"/>
          <w:bCs w:val="0"/>
          <w:color w:val="000000"/>
          <w:sz w:val="24"/>
        </w:rPr>
        <w:t>个以上国际标准参数，需要包括ACT（sec），SP(min)， R(min)，K(min)，Angle(deg)，MA(mm)，TMA(min)，G(d/sc)，E(d/sc)，TPI(/sec)，EPL(%)，A(mm)，CI，PMA，LTE(min)等等。</w:t>
      </w:r>
    </w:p>
    <w:p w14:paraId="394DE3C1">
      <w:pPr>
        <w:spacing w:line="360" w:lineRule="auto"/>
        <w:rPr>
          <w:rFonts w:ascii="仿宋" w:hAnsi="仿宋" w:eastAsia="仿宋" w:cs="仿宋"/>
          <w:b w:val="0"/>
          <w:bCs w:val="0"/>
          <w:color w:val="000000"/>
          <w:sz w:val="24"/>
        </w:rPr>
      </w:pPr>
      <w:r>
        <w:rPr>
          <w:rFonts w:hint="eastAsia" w:ascii="仿宋" w:hAnsi="仿宋" w:eastAsia="仿宋" w:cs="仿宋"/>
          <w:b w:val="0"/>
          <w:bCs w:val="0"/>
          <w:color w:val="000000"/>
          <w:sz w:val="24"/>
        </w:rPr>
        <w:t>15.具备自动上下杯，卸杯功能，同时自动停止检测。</w:t>
      </w:r>
    </w:p>
    <w:p w14:paraId="7C273F1F">
      <w:pPr>
        <w:spacing w:line="360" w:lineRule="auto"/>
        <w:rPr>
          <w:rFonts w:ascii="仿宋" w:hAnsi="仿宋" w:eastAsia="仿宋" w:cs="仿宋"/>
          <w:b w:val="0"/>
          <w:bCs w:val="0"/>
          <w:color w:val="000000"/>
          <w:sz w:val="24"/>
        </w:rPr>
      </w:pPr>
      <w:r>
        <w:rPr>
          <w:rFonts w:hint="eastAsia" w:ascii="仿宋" w:hAnsi="仿宋" w:eastAsia="仿宋" w:cs="仿宋"/>
          <w:b w:val="0"/>
          <w:bCs w:val="0"/>
          <w:color w:val="000000"/>
          <w:sz w:val="24"/>
        </w:rPr>
        <w:t>16.血栓弹力图仪为一体设计，含有显示与控制部分，无需外接电脑，屏幕角度可以调节。</w:t>
      </w:r>
    </w:p>
    <w:p w14:paraId="08AD8A91">
      <w:pPr>
        <w:spacing w:line="360" w:lineRule="auto"/>
        <w:rPr>
          <w:rFonts w:ascii="仿宋" w:hAnsi="仿宋" w:eastAsia="仿宋" w:cs="仿宋"/>
          <w:b w:val="0"/>
          <w:bCs w:val="0"/>
          <w:color w:val="000000"/>
          <w:sz w:val="24"/>
        </w:rPr>
      </w:pPr>
      <w:r>
        <w:rPr>
          <w:rFonts w:hint="eastAsia" w:ascii="仿宋" w:hAnsi="仿宋" w:eastAsia="仿宋" w:cs="仿宋"/>
          <w:b w:val="0"/>
          <w:bCs w:val="0"/>
          <w:color w:val="000000"/>
          <w:sz w:val="24"/>
        </w:rPr>
        <w:t>17.任意两通道之间不存在因为通道共振所导致的检测结果异常。</w:t>
      </w:r>
    </w:p>
    <w:p w14:paraId="04A98B5C">
      <w:pPr>
        <w:spacing w:line="360" w:lineRule="auto"/>
        <w:rPr>
          <w:rFonts w:ascii="仿宋" w:hAnsi="仿宋" w:eastAsia="仿宋" w:cs="仿宋"/>
          <w:b w:val="0"/>
          <w:bCs w:val="0"/>
          <w:color w:val="000000"/>
          <w:sz w:val="24"/>
        </w:rPr>
      </w:pPr>
      <w:r>
        <w:rPr>
          <w:rFonts w:hint="eastAsia" w:ascii="仿宋" w:hAnsi="仿宋" w:eastAsia="仿宋" w:cs="仿宋"/>
          <w:b w:val="0"/>
          <w:bCs w:val="0"/>
          <w:color w:val="000000"/>
          <w:sz w:val="24"/>
        </w:rPr>
        <w:t>18.专用TEG软件及远程网络软件分享系统，能同步分享检测样本数据。</w:t>
      </w:r>
    </w:p>
    <w:p w14:paraId="7754021D">
      <w:pPr>
        <w:spacing w:line="360" w:lineRule="auto"/>
        <w:rPr>
          <w:rFonts w:ascii="仿宋" w:hAnsi="仿宋" w:eastAsia="仿宋" w:cs="仿宋"/>
          <w:b w:val="0"/>
          <w:bCs w:val="0"/>
          <w:color w:val="000000"/>
          <w:sz w:val="24"/>
        </w:rPr>
      </w:pPr>
      <w:r>
        <w:rPr>
          <w:rFonts w:hint="eastAsia" w:ascii="仿宋" w:hAnsi="仿宋" w:eastAsia="仿宋" w:cs="仿宋"/>
          <w:b w:val="0"/>
          <w:bCs w:val="0"/>
          <w:color w:val="000000"/>
          <w:sz w:val="24"/>
        </w:rPr>
        <w:t>19. 可连接扫码枪，支持患者信息自动录入。可与LIS系统实现自动、实时图文传输。</w:t>
      </w:r>
    </w:p>
    <w:p w14:paraId="4A83F173">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val="0"/>
          <w:bCs w:val="0"/>
          <w:color w:val="000000"/>
          <w:sz w:val="24"/>
        </w:rPr>
        <w:t>20.报告需包括图形和数据，能输出初步的诊断建议。</w:t>
      </w:r>
    </w:p>
    <w:p w14:paraId="187F079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59985B90">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2E93474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0652E2F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B13B076">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且原装进口产品生产日期与交货日期差值≤12个月；国产产品生产日期与交货日期差值≤3个月。</w:t>
      </w:r>
    </w:p>
    <w:p w14:paraId="127A97A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34833577">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78B8B88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3C7E2B47">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109DCF1C">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43C669A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color w:val="000000" w:themeColor="text1"/>
          <w:sz w:val="24"/>
          <w:highlight w:val="none"/>
        </w:rPr>
        <w:t>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val="en-US" w:eastAsia="zh-CN"/>
        </w:rPr>
        <w:t>2</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年。</w:t>
      </w:r>
    </w:p>
    <w:p w14:paraId="3EB6C40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0E9F8EFF">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1D68BE64">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11B4A4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74B24627">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27312748">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63311A9F">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4C1E8C7A">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p w14:paraId="7F772E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3B02E2"/>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672DAF"/>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widowControl w:val="0"/>
      <w:ind w:left="1680"/>
      <w:jc w:val="both"/>
    </w:pPr>
    <w:rPr>
      <w:kern w:val="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2779</Words>
  <Characters>2897</Characters>
  <Lines>5</Lines>
  <Paragraphs>1</Paragraphs>
  <TotalTime>1</TotalTime>
  <ScaleCrop>false</ScaleCrop>
  <LinksUpToDate>false</LinksUpToDate>
  <CharactersWithSpaces>3003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2025-05-06T07:10:28Z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