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r>
              <w:rPr>
                <w:rFonts w:hint="eastAsia" w:ascii="楷体_GB2312" w:hAnsi="楷体_GB2312" w:eastAsia="楷体_GB2312" w:cs="楷体_GB2312"/>
                <w:b/>
                <w:color w:val="0000FF"/>
                <w:sz w:val="21"/>
                <w:szCs w:val="21"/>
                <w:u w:val="single"/>
                <w:lang w:val="en-US" w:eastAsia="zh-CN"/>
              </w:rPr>
              <w:t>如有质控液、校准品等需</w:t>
            </w:r>
            <w:r>
              <w:rPr>
                <w:rFonts w:hint="eastAsia" w:ascii="楷体_GB2312" w:hAnsi="楷体_GB2312" w:eastAsia="楷体_GB2312" w:cs="楷体_GB2312"/>
                <w:b/>
                <w:color w:val="0000FF"/>
                <w:sz w:val="21"/>
                <w:szCs w:val="21"/>
                <w:highlight w:val="yellow"/>
                <w:u w:val="single"/>
                <w:lang w:val="en-US" w:eastAsia="zh-CN"/>
              </w:rPr>
              <w:t>备注</w:t>
            </w:r>
            <w:r>
              <w:rPr>
                <w:rFonts w:hint="eastAsia" w:ascii="楷体_GB2312" w:hAnsi="楷体_GB2312" w:eastAsia="楷体_GB2312" w:cs="楷体_GB2312"/>
                <w:b/>
                <w:color w:val="0000FF"/>
                <w:sz w:val="21"/>
                <w:szCs w:val="21"/>
                <w:u w:val="single"/>
                <w:lang w:val="en-US" w:eastAsia="zh-CN"/>
              </w:rPr>
              <w:t>校准时间间隔；试剂规格如不能反映测试数的需备注测试数（即一瓶能做几人份）</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846"/>
              <w:gridCol w:w="995"/>
              <w:gridCol w:w="624"/>
              <w:gridCol w:w="905"/>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91EDECC">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单人份测试单价（元）</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5ABA87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37E466A">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FF0000"/>
                <w:sz w:val="24"/>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医用核酸分子杂交仪</w:t>
            </w:r>
          </w:p>
        </w:tc>
        <w:tc>
          <w:tcPr>
            <w:tcW w:w="2268" w:type="dxa"/>
          </w:tcPr>
          <w:p w14:paraId="29F1C94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检验科</w:t>
            </w:r>
          </w:p>
        </w:tc>
        <w:tc>
          <w:tcPr>
            <w:tcW w:w="2508" w:type="dxa"/>
          </w:tcPr>
          <w:p w14:paraId="5937043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highlight w:val="yellow"/>
                <w:lang w:val="en-US" w:eastAsia="zh-CN"/>
              </w:rPr>
              <w:t>1</w:t>
            </w:r>
          </w:p>
        </w:tc>
      </w:tr>
    </w:tbl>
    <w:p w14:paraId="26B12F7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医用核酸分子杂交仪</w:t>
      </w:r>
    </w:p>
    <w:p w14:paraId="247ACE54">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用途：主要应用于HPV基因分型检测等项目。</w:t>
      </w:r>
      <w:r>
        <w:rPr>
          <w:rFonts w:hint="eastAsia" w:ascii="仿宋" w:hAnsi="仿宋" w:eastAsia="仿宋" w:cs="仿宋"/>
          <w:color w:val="0000FF"/>
          <w:sz w:val="24"/>
          <w:lang w:val="en-US" w:eastAsia="zh-CN"/>
        </w:rPr>
        <w:t>收费项目：</w:t>
      </w:r>
      <w:r>
        <w:rPr>
          <w:rFonts w:hint="default" w:ascii="仿宋" w:hAnsi="仿宋" w:eastAsia="仿宋" w:cs="仿宋"/>
          <w:color w:val="0000FF"/>
          <w:sz w:val="24"/>
          <w:lang w:val="en-US" w:eastAsia="zh-CN"/>
        </w:rPr>
        <w:t>人乳头瘤病毒(HPV)核酸分型检测</w:t>
      </w:r>
      <w:r>
        <w:rPr>
          <w:rFonts w:hint="eastAsia" w:ascii="仿宋" w:hAnsi="仿宋" w:eastAsia="仿宋" w:cs="仿宋"/>
          <w:color w:val="0000FF"/>
          <w:sz w:val="24"/>
          <w:lang w:val="en-US" w:eastAsia="zh-CN"/>
        </w:rPr>
        <w:t>，中山市物价编码：</w:t>
      </w:r>
      <w:r>
        <w:rPr>
          <w:rFonts w:hint="default" w:ascii="仿宋" w:hAnsi="仿宋" w:eastAsia="仿宋" w:cs="仿宋"/>
          <w:color w:val="0000FF"/>
          <w:sz w:val="24"/>
          <w:lang w:val="en-US" w:eastAsia="zh-CN"/>
        </w:rPr>
        <w:t>250403066-4</w:t>
      </w:r>
      <w:r>
        <w:rPr>
          <w:rFonts w:hint="eastAsia" w:ascii="仿宋" w:hAnsi="仿宋" w:eastAsia="仿宋" w:cs="仿宋"/>
          <w:color w:val="0000FF"/>
          <w:sz w:val="24"/>
          <w:lang w:val="en-US" w:eastAsia="zh-CN"/>
        </w:rPr>
        <w:t>，收费单价301元。</w:t>
      </w:r>
      <w:bookmarkStart w:id="0" w:name="_GoBack"/>
      <w:bookmarkEnd w:id="0"/>
    </w:p>
    <w:p w14:paraId="5A27D3ED">
      <w:pPr>
        <w:pStyle w:val="2"/>
        <w:rPr>
          <w:rFonts w:hint="eastAsia"/>
          <w:lang w:val="en-US" w:eastAsia="zh-CN"/>
        </w:rPr>
      </w:pPr>
    </w:p>
    <w:p w14:paraId="426AD8A4">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685E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8FABF8C">
            <w:pPr>
              <w:spacing w:line="440" w:lineRule="exact"/>
              <w:jc w:val="center"/>
              <w:rPr>
                <w:rFonts w:ascii="宋体" w:hAnsi="宋体"/>
                <w:color w:val="000000" w:themeColor="text1"/>
                <w:szCs w:val="21"/>
              </w:rPr>
            </w:pPr>
            <w:r>
              <w:rPr>
                <w:rFonts w:hint="eastAsia" w:ascii="宋体" w:hAnsi="宋体"/>
                <w:color w:val="000000" w:themeColor="text1"/>
                <w:szCs w:val="21"/>
              </w:rPr>
              <w:t>序号</w:t>
            </w:r>
          </w:p>
        </w:tc>
        <w:tc>
          <w:tcPr>
            <w:tcW w:w="7599" w:type="dxa"/>
          </w:tcPr>
          <w:p w14:paraId="5267F8F3">
            <w:pPr>
              <w:spacing w:line="440" w:lineRule="exact"/>
              <w:jc w:val="center"/>
              <w:rPr>
                <w:rFonts w:ascii="宋体" w:hAnsi="宋体"/>
                <w:color w:val="000000" w:themeColor="text1"/>
                <w:szCs w:val="21"/>
              </w:rPr>
            </w:pPr>
            <w:r>
              <w:rPr>
                <w:rFonts w:hint="eastAsia" w:ascii="宋体" w:hAnsi="宋体"/>
                <w:color w:val="000000" w:themeColor="text1"/>
                <w:szCs w:val="21"/>
              </w:rPr>
              <w:t>要求</w:t>
            </w:r>
          </w:p>
        </w:tc>
      </w:tr>
      <w:tr w14:paraId="0A94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CEB5D18">
            <w:pPr>
              <w:spacing w:line="440" w:lineRule="exact"/>
              <w:jc w:val="left"/>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1.</w:t>
            </w:r>
          </w:p>
        </w:tc>
        <w:tc>
          <w:tcPr>
            <w:tcW w:w="7599" w:type="dxa"/>
            <w:vAlign w:val="center"/>
          </w:tcPr>
          <w:p w14:paraId="06770D41">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★检测方法：杂交法。</w:t>
            </w:r>
          </w:p>
        </w:tc>
      </w:tr>
      <w:tr w14:paraId="6609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982DCEC">
            <w:pPr>
              <w:spacing w:line="440" w:lineRule="exact"/>
              <w:jc w:val="left"/>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2.</w:t>
            </w:r>
          </w:p>
        </w:tc>
        <w:tc>
          <w:tcPr>
            <w:tcW w:w="7599" w:type="dxa"/>
            <w:vAlign w:val="center"/>
          </w:tcPr>
          <w:p w14:paraId="7EF0406B">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★检测平台开展</w:t>
            </w:r>
            <w:r>
              <w:rPr>
                <w:rFonts w:hint="default" w:ascii="Times New Roman" w:hAnsi="Times New Roman" w:cs="Times New Roman"/>
                <w:color w:val="000000" w:themeColor="text1"/>
                <w:szCs w:val="21"/>
                <w:lang w:eastAsia="zh-CN"/>
              </w:rPr>
              <w:t>的</w:t>
            </w:r>
            <w:r>
              <w:rPr>
                <w:rFonts w:hint="default" w:ascii="Times New Roman" w:hAnsi="Times New Roman" w:cs="Times New Roman"/>
                <w:color w:val="000000" w:themeColor="text1"/>
                <w:szCs w:val="21"/>
              </w:rPr>
              <w:t>项目至少可应用于</w:t>
            </w:r>
            <w:r>
              <w:rPr>
                <w:rFonts w:hint="default" w:ascii="Times New Roman" w:hAnsi="Times New Roman" w:cs="Times New Roman"/>
                <w:color w:val="000000" w:themeColor="text1"/>
                <w:szCs w:val="21"/>
                <w:lang w:val="en-US" w:eastAsia="zh-CN"/>
              </w:rPr>
              <w:t>HPV基因分型</w:t>
            </w:r>
            <w:r>
              <w:rPr>
                <w:rFonts w:hint="default" w:ascii="Times New Roman" w:hAnsi="Times New Roman" w:cs="Times New Roman"/>
                <w:color w:val="000000" w:themeColor="text1"/>
                <w:szCs w:val="21"/>
              </w:rPr>
              <w:t>检测。</w:t>
            </w:r>
          </w:p>
        </w:tc>
      </w:tr>
      <w:tr w14:paraId="5862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44A12E9">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3.</w:t>
            </w:r>
          </w:p>
        </w:tc>
        <w:tc>
          <w:tcPr>
            <w:tcW w:w="7599" w:type="dxa"/>
            <w:vAlign w:val="center"/>
          </w:tcPr>
          <w:p w14:paraId="3A5399A7">
            <w:pPr>
              <w:spacing w:line="440" w:lineRule="exact"/>
              <w:jc w:val="left"/>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w:t>
            </w:r>
            <w:r>
              <w:rPr>
                <w:rFonts w:hint="default" w:ascii="Times New Roman" w:hAnsi="Times New Roman" w:cs="Times New Roman"/>
                <w:color w:val="000000" w:themeColor="text1"/>
                <w:szCs w:val="21"/>
                <w:lang w:val="en-US" w:eastAsia="zh-CN"/>
              </w:rPr>
              <w:t>支持检测HPV基因分型</w:t>
            </w:r>
            <w:r>
              <w:rPr>
                <w:rFonts w:hint="default" w:ascii="Times New Roman" w:hAnsi="Times New Roman" w:cs="Times New Roman"/>
                <w:color w:val="000000" w:themeColor="text1"/>
                <w:szCs w:val="21"/>
              </w:rPr>
              <w:t>2</w:t>
            </w:r>
            <w:r>
              <w:rPr>
                <w:rFonts w:hint="default" w:ascii="Times New Roman" w:hAnsi="Times New Roman" w:cs="Times New Roman"/>
                <w:color w:val="000000" w:themeColor="text1"/>
                <w:szCs w:val="21"/>
                <w:lang w:val="en-US" w:eastAsia="zh-CN"/>
              </w:rPr>
              <w:t>1种及</w:t>
            </w:r>
            <w:r>
              <w:rPr>
                <w:rFonts w:hint="default" w:ascii="Times New Roman" w:hAnsi="Times New Roman" w:cs="Times New Roman"/>
                <w:color w:val="000000" w:themeColor="text1"/>
                <w:szCs w:val="21"/>
              </w:rPr>
              <w:t>以上，</w:t>
            </w:r>
            <w:r>
              <w:rPr>
                <w:rFonts w:hint="default" w:ascii="Times New Roman" w:hAnsi="Times New Roman" w:cs="Times New Roman"/>
                <w:color w:val="000000" w:themeColor="text1"/>
                <w:szCs w:val="21"/>
                <w:lang w:val="en-US" w:eastAsia="zh-CN"/>
              </w:rPr>
              <w:t>其中</w:t>
            </w:r>
            <w:r>
              <w:rPr>
                <w:rFonts w:hint="default" w:ascii="Times New Roman" w:hAnsi="Times New Roman" w:cs="Times New Roman"/>
                <w:color w:val="000000" w:themeColor="text1"/>
                <w:szCs w:val="21"/>
              </w:rPr>
              <w:t>HPV高危亚型：HPV16、18、31、33、35、39、45、51、52、56、58、59、68亚型</w:t>
            </w:r>
            <w:r>
              <w:rPr>
                <w:rFonts w:hint="default" w:ascii="Times New Roman" w:hAnsi="Times New Roman" w:cs="Times New Roman"/>
                <w:color w:val="000000" w:themeColor="text1"/>
                <w:szCs w:val="21"/>
                <w:lang w:eastAsia="zh-CN"/>
              </w:rPr>
              <w:t>；</w:t>
            </w:r>
            <w:r>
              <w:rPr>
                <w:rFonts w:hint="default" w:ascii="Times New Roman" w:hAnsi="Times New Roman" w:cs="Times New Roman"/>
                <w:color w:val="000000" w:themeColor="text1"/>
                <w:szCs w:val="21"/>
              </w:rPr>
              <w:t>HPV低危亚型：HPV6、11、42、43、44亚型</w:t>
            </w:r>
            <w:r>
              <w:rPr>
                <w:rFonts w:hint="default" w:ascii="Times New Roman" w:hAnsi="Times New Roman" w:cs="Times New Roman"/>
                <w:color w:val="000000" w:themeColor="text1"/>
                <w:szCs w:val="21"/>
                <w:lang w:eastAsia="zh-CN"/>
              </w:rPr>
              <w:t>；</w:t>
            </w:r>
            <w:r>
              <w:rPr>
                <w:rFonts w:hint="default" w:ascii="Times New Roman" w:hAnsi="Times New Roman" w:cs="Times New Roman"/>
                <w:color w:val="000000" w:themeColor="text1"/>
                <w:szCs w:val="21"/>
              </w:rPr>
              <w:t>HPV其他亚型：HPV53、66、CP8304亚型。</w:t>
            </w:r>
          </w:p>
        </w:tc>
      </w:tr>
      <w:tr w14:paraId="411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5BEFA62">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4.</w:t>
            </w:r>
          </w:p>
        </w:tc>
        <w:tc>
          <w:tcPr>
            <w:tcW w:w="7599" w:type="dxa"/>
            <w:vAlign w:val="center"/>
          </w:tcPr>
          <w:p w14:paraId="26A5206C">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w:t>
            </w:r>
            <w:r>
              <w:rPr>
                <w:rFonts w:hint="default" w:ascii="Times New Roman" w:hAnsi="Times New Roman" w:cs="Times New Roman"/>
                <w:color w:val="000000" w:themeColor="text1"/>
                <w:szCs w:val="21"/>
                <w:lang w:val="en-US" w:eastAsia="zh-CN"/>
              </w:rPr>
              <w:t>支持自动化判读；搭配智能判读软件，实现AI智慧判读。</w:t>
            </w:r>
          </w:p>
        </w:tc>
      </w:tr>
      <w:tr w14:paraId="1DAE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3" w:type="dxa"/>
            <w:vAlign w:val="center"/>
          </w:tcPr>
          <w:p w14:paraId="6C82A3CC">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5.</w:t>
            </w:r>
          </w:p>
        </w:tc>
        <w:tc>
          <w:tcPr>
            <w:tcW w:w="7599" w:type="dxa"/>
            <w:vAlign w:val="center"/>
          </w:tcPr>
          <w:p w14:paraId="2E555BC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▲样本容量：</w:t>
            </w:r>
            <w:r>
              <w:rPr>
                <w:rFonts w:hint="default" w:ascii="Times New Roman" w:hAnsi="Times New Roman" w:cs="Times New Roman"/>
                <w:color w:val="000000" w:themeColor="text1"/>
                <w:szCs w:val="21"/>
                <w:lang w:val="en-US" w:eastAsia="zh-CN"/>
              </w:rPr>
              <w:t>支持</w:t>
            </w:r>
            <w:r>
              <w:rPr>
                <w:rFonts w:hint="default" w:ascii="Times New Roman" w:hAnsi="Times New Roman" w:cs="Times New Roman"/>
                <w:color w:val="000000" w:themeColor="text1"/>
                <w:szCs w:val="21"/>
              </w:rPr>
              <w:t>随到随检，无需</w:t>
            </w:r>
            <w:r>
              <w:rPr>
                <w:rFonts w:hint="default" w:ascii="Times New Roman" w:hAnsi="Times New Roman" w:cs="Times New Roman"/>
                <w:color w:val="000000" w:themeColor="text1"/>
                <w:szCs w:val="21"/>
                <w:lang w:val="en-US" w:eastAsia="zh-CN"/>
              </w:rPr>
              <w:t>积攒标本</w:t>
            </w:r>
            <w:r>
              <w:rPr>
                <w:rFonts w:hint="eastAsia" w:ascii="Times New Roman" w:hAnsi="Times New Roman" w:cs="Times New Roman"/>
                <w:color w:val="000000" w:themeColor="text1"/>
                <w:szCs w:val="21"/>
                <w:lang w:eastAsia="zh-CN"/>
              </w:rPr>
              <w:t>，</w:t>
            </w:r>
            <w:r>
              <w:rPr>
                <w:rFonts w:hint="eastAsia" w:ascii="Times New Roman" w:hAnsi="Times New Roman" w:cs="Times New Roman"/>
                <w:color w:val="000000" w:themeColor="text1"/>
                <w:szCs w:val="21"/>
                <w:lang w:val="en-US" w:eastAsia="zh-CN"/>
              </w:rPr>
              <w:t>单次最大检测量不少于90人份</w:t>
            </w:r>
            <w:r>
              <w:rPr>
                <w:rFonts w:hint="default" w:ascii="Times New Roman" w:hAnsi="Times New Roman" w:cs="Times New Roman"/>
                <w:color w:val="000000" w:themeColor="text1"/>
                <w:szCs w:val="21"/>
              </w:rPr>
              <w:t>。</w:t>
            </w:r>
          </w:p>
        </w:tc>
      </w:tr>
      <w:tr w14:paraId="1458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048C76F">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6.</w:t>
            </w:r>
          </w:p>
        </w:tc>
        <w:tc>
          <w:tcPr>
            <w:tcW w:w="7599" w:type="dxa"/>
            <w:vAlign w:val="center"/>
          </w:tcPr>
          <w:p w14:paraId="6024C15E">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▲支持单人份膜条，避免裁剪杂交膜条，造成试剂浪费。</w:t>
            </w:r>
          </w:p>
        </w:tc>
      </w:tr>
      <w:tr w14:paraId="7350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7BFAC4E">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7.</w:t>
            </w:r>
          </w:p>
        </w:tc>
        <w:tc>
          <w:tcPr>
            <w:tcW w:w="7599" w:type="dxa"/>
            <w:vAlign w:val="center"/>
          </w:tcPr>
          <w:p w14:paraId="66E83317">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每份标本独立反应，防止交叉污染。</w:t>
            </w:r>
          </w:p>
        </w:tc>
      </w:tr>
      <w:tr w14:paraId="4250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156C018">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8.</w:t>
            </w:r>
          </w:p>
        </w:tc>
        <w:tc>
          <w:tcPr>
            <w:tcW w:w="7599" w:type="dxa"/>
            <w:vAlign w:val="center"/>
          </w:tcPr>
          <w:p w14:paraId="0B40F637">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温控</w:t>
            </w:r>
            <w:r>
              <w:rPr>
                <w:rFonts w:hint="default" w:ascii="Times New Roman" w:hAnsi="Times New Roman" w:cs="Times New Roman"/>
                <w:color w:val="000000" w:themeColor="text1"/>
                <w:szCs w:val="21"/>
              </w:rPr>
              <w:t>精度： ≤±0.5℃。</w:t>
            </w:r>
          </w:p>
        </w:tc>
      </w:tr>
      <w:tr w14:paraId="0240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3" w:type="dxa"/>
            <w:vAlign w:val="center"/>
          </w:tcPr>
          <w:p w14:paraId="365144D7">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9.</w:t>
            </w:r>
          </w:p>
        </w:tc>
        <w:tc>
          <w:tcPr>
            <w:tcW w:w="7599" w:type="dxa"/>
            <w:vAlign w:val="center"/>
          </w:tcPr>
          <w:p w14:paraId="38DE8B18">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控温范围： 20℃-</w:t>
            </w:r>
            <w:r>
              <w:rPr>
                <w:rFonts w:hint="eastAsia" w:ascii="Times New Roman" w:hAnsi="Times New Roman" w:cs="Times New Roman"/>
                <w:color w:val="000000" w:themeColor="text1"/>
                <w:szCs w:val="21"/>
                <w:lang w:val="en-US" w:eastAsia="zh-CN"/>
              </w:rPr>
              <w:t>4</w:t>
            </w:r>
            <w:r>
              <w:rPr>
                <w:rFonts w:hint="default" w:ascii="Times New Roman" w:hAnsi="Times New Roman" w:cs="Times New Roman"/>
                <w:color w:val="000000" w:themeColor="text1"/>
                <w:szCs w:val="21"/>
              </w:rPr>
              <w:t>5℃。</w:t>
            </w:r>
          </w:p>
        </w:tc>
      </w:tr>
      <w:tr w14:paraId="74D9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A191DDB">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10.</w:t>
            </w:r>
          </w:p>
        </w:tc>
        <w:tc>
          <w:tcPr>
            <w:tcW w:w="7599" w:type="dxa"/>
            <w:vAlign w:val="center"/>
          </w:tcPr>
          <w:p w14:paraId="08AA7EFF">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降温速率：≥</w:t>
            </w:r>
            <w:r>
              <w:rPr>
                <w:rFonts w:hint="eastAsia" w:ascii="Times New Roman" w:hAnsi="Times New Roman" w:cs="Times New Roman"/>
                <w:color w:val="000000" w:themeColor="text1"/>
                <w:szCs w:val="21"/>
                <w:lang w:val="en-US" w:eastAsia="zh-CN"/>
              </w:rPr>
              <w:t>5</w:t>
            </w:r>
            <w:r>
              <w:rPr>
                <w:rFonts w:hint="default" w:ascii="Times New Roman" w:hAnsi="Times New Roman" w:cs="Times New Roman"/>
                <w:color w:val="000000" w:themeColor="text1"/>
                <w:szCs w:val="21"/>
              </w:rPr>
              <w:t>.0℃/min。</w:t>
            </w:r>
          </w:p>
        </w:tc>
      </w:tr>
      <w:tr w14:paraId="4D9C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14:paraId="0DAB75A2">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lang w:val="en-US" w:eastAsia="zh-CN"/>
              </w:rPr>
              <w:t>11.</w:t>
            </w:r>
          </w:p>
        </w:tc>
        <w:tc>
          <w:tcPr>
            <w:tcW w:w="7599" w:type="dxa"/>
            <w:vAlign w:val="center"/>
          </w:tcPr>
          <w:p w14:paraId="72E4A56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升温速率：≥</w:t>
            </w:r>
            <w:r>
              <w:rPr>
                <w:rFonts w:hint="eastAsia" w:ascii="Times New Roman" w:hAnsi="Times New Roman" w:cs="Times New Roman"/>
                <w:color w:val="000000" w:themeColor="text1"/>
                <w:szCs w:val="21"/>
                <w:lang w:val="en-US" w:eastAsia="zh-CN"/>
              </w:rPr>
              <w:t>10</w:t>
            </w:r>
            <w:r>
              <w:rPr>
                <w:rFonts w:hint="default" w:ascii="Times New Roman" w:hAnsi="Times New Roman" w:cs="Times New Roman"/>
                <w:color w:val="000000" w:themeColor="text1"/>
                <w:szCs w:val="21"/>
              </w:rPr>
              <w:t>.0℃/min。</w:t>
            </w:r>
          </w:p>
        </w:tc>
      </w:tr>
      <w:tr w14:paraId="4D40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top"/>
          </w:tcPr>
          <w:p w14:paraId="299B2081">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12.</w:t>
            </w:r>
          </w:p>
        </w:tc>
        <w:tc>
          <w:tcPr>
            <w:tcW w:w="7599" w:type="dxa"/>
            <w:vAlign w:val="center"/>
          </w:tcPr>
          <w:p w14:paraId="326A39E2">
            <w:pPr>
              <w:spacing w:line="440" w:lineRule="exact"/>
              <w:jc w:val="left"/>
              <w:rPr>
                <w:rFonts w:hint="default" w:ascii="Times New Roman" w:hAnsi="Times New Roman" w:cs="Times New Roman" w:eastAsiaTheme="minorEastAsia"/>
                <w:color w:val="000000" w:themeColor="text1"/>
                <w:szCs w:val="21"/>
                <w:lang w:val="en-US" w:eastAsia="zh-CN"/>
              </w:rPr>
            </w:pPr>
            <w:r>
              <w:rPr>
                <w:rFonts w:hint="eastAsia" w:ascii="Times New Roman" w:hAnsi="Times New Roman" w:cs="Times New Roman"/>
                <w:color w:val="0000FF"/>
                <w:szCs w:val="21"/>
                <w:lang w:val="en-US" w:eastAsia="zh-CN"/>
              </w:rPr>
              <w:t>设备使用年限≥</w:t>
            </w:r>
            <w:r>
              <w:rPr>
                <w:rFonts w:hint="eastAsia" w:cs="Times New Roman"/>
                <w:color w:val="FF0000"/>
                <w:szCs w:val="21"/>
                <w:lang w:val="en-US" w:eastAsia="zh-CN"/>
              </w:rPr>
              <w:t>8</w:t>
            </w:r>
            <w:r>
              <w:rPr>
                <w:rFonts w:hint="eastAsia" w:ascii="Times New Roman" w:hAnsi="Times New Roman" w:cs="Times New Roman"/>
                <w:color w:val="FF0000"/>
                <w:szCs w:val="21"/>
                <w:lang w:val="en-US" w:eastAsia="zh-CN"/>
              </w:rPr>
              <w:t>年</w:t>
            </w:r>
            <w:r>
              <w:rPr>
                <w:rFonts w:hint="eastAsia" w:ascii="Times New Roman" w:hAnsi="Times New Roman" w:cs="Times New Roman"/>
                <w:color w:val="0000FF"/>
                <w:szCs w:val="21"/>
                <w:lang w:val="en-US" w:eastAsia="zh-CN"/>
              </w:rPr>
              <w:t>。</w:t>
            </w:r>
          </w:p>
        </w:tc>
      </w:tr>
      <w:tr w14:paraId="0607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top"/>
          </w:tcPr>
          <w:p w14:paraId="20EE457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13.</w:t>
            </w:r>
          </w:p>
        </w:tc>
        <w:tc>
          <w:tcPr>
            <w:tcW w:w="7599" w:type="dxa"/>
            <w:vAlign w:val="center"/>
          </w:tcPr>
          <w:p w14:paraId="3385B1E3">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显示精度： ≤0.1℃。</w:t>
            </w:r>
          </w:p>
        </w:tc>
      </w:tr>
      <w:tr w14:paraId="103F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top"/>
          </w:tcPr>
          <w:p w14:paraId="237763F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14.</w:t>
            </w:r>
          </w:p>
        </w:tc>
        <w:tc>
          <w:tcPr>
            <w:tcW w:w="7599" w:type="dxa"/>
            <w:vAlign w:val="center"/>
          </w:tcPr>
          <w:p w14:paraId="0CC269A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FF"/>
                <w:szCs w:val="21"/>
              </w:rPr>
              <w:t>配套试剂盒报价：</w:t>
            </w:r>
            <w:r>
              <w:rPr>
                <w:rFonts w:hint="default" w:ascii="Times New Roman" w:hAnsi="Times New Roman" w:cs="Times New Roman"/>
                <w:color w:val="000000" w:themeColor="text1"/>
                <w:szCs w:val="21"/>
              </w:rPr>
              <w:t>提供试剂盒规格与价格，包括试剂盒单价和单人份单价，不同规格的试剂盒</w:t>
            </w:r>
            <w:r>
              <w:rPr>
                <w:rFonts w:hint="default" w:ascii="Times New Roman" w:hAnsi="Times New Roman" w:cs="Times New Roman"/>
                <w:color w:val="0000FF"/>
                <w:szCs w:val="21"/>
              </w:rPr>
              <w:t>单人份报价</w:t>
            </w:r>
            <w:r>
              <w:rPr>
                <w:rFonts w:hint="default" w:ascii="Times New Roman" w:hAnsi="Times New Roman" w:cs="Times New Roman"/>
                <w:color w:val="000000" w:themeColor="text1"/>
                <w:szCs w:val="21"/>
              </w:rPr>
              <w:t>必须一致；试剂盒的单人份测试数必须提供相关证明文件 (备注：此项不作为单项加分项)。</w:t>
            </w:r>
          </w:p>
        </w:tc>
      </w:tr>
      <w:tr w14:paraId="4029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3" w:type="dxa"/>
            <w:vAlign w:val="top"/>
          </w:tcPr>
          <w:p w14:paraId="6339E0B3">
            <w:pPr>
              <w:spacing w:line="440" w:lineRule="exact"/>
              <w:jc w:val="left"/>
              <w:rPr>
                <w:rFonts w:hint="default" w:ascii="Times New Roman" w:hAnsi="Times New Roman" w:cs="Times New Roman"/>
                <w:color w:val="000000" w:themeColor="text1"/>
                <w:szCs w:val="21"/>
                <w:lang w:val="en-US" w:eastAsia="zh-CN"/>
              </w:rPr>
            </w:pPr>
            <w:r>
              <w:rPr>
                <w:rFonts w:hint="eastAsia" w:ascii="Times New Roman" w:hAnsi="Times New Roman" w:cs="Times New Roman"/>
                <w:color w:val="000000" w:themeColor="text1"/>
                <w:szCs w:val="21"/>
                <w:lang w:val="en-US" w:eastAsia="zh-CN"/>
              </w:rPr>
              <w:t>15.</w:t>
            </w:r>
          </w:p>
        </w:tc>
        <w:tc>
          <w:tcPr>
            <w:tcW w:w="7599" w:type="dxa"/>
            <w:vAlign w:val="center"/>
          </w:tcPr>
          <w:p w14:paraId="5B5423D4">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FF"/>
                <w:szCs w:val="21"/>
              </w:rPr>
              <w:t>配套材料与耗材</w:t>
            </w:r>
            <w:r>
              <w:rPr>
                <w:rFonts w:hint="default" w:ascii="Times New Roman" w:hAnsi="Times New Roman" w:cs="Times New Roman"/>
                <w:color w:val="000000" w:themeColor="text1"/>
                <w:szCs w:val="21"/>
              </w:rPr>
              <w:t>：提供检测试剂盒以外的其他所有配套材料与耗材的规格与价格，以及上述配套材料与耗材的</w:t>
            </w:r>
            <w:r>
              <w:rPr>
                <w:rFonts w:hint="default" w:ascii="Times New Roman" w:hAnsi="Times New Roman" w:cs="Times New Roman"/>
                <w:color w:val="0000FF"/>
                <w:szCs w:val="21"/>
              </w:rPr>
              <w:t>单人份报价</w:t>
            </w:r>
            <w:r>
              <w:rPr>
                <w:rFonts w:hint="default" w:ascii="Times New Roman" w:hAnsi="Times New Roman" w:cs="Times New Roman"/>
                <w:color w:val="000000" w:themeColor="text1"/>
                <w:szCs w:val="21"/>
              </w:rPr>
              <w:t>；上述配套材料与耗材可以是质控品、校准品、采样管或其它耗材等；配套材料与耗材的单人份测试数必须提供相关证明文件 (备注：此项不作为单项加分项)。</w:t>
            </w:r>
          </w:p>
        </w:tc>
      </w:tr>
    </w:tbl>
    <w:p w14:paraId="4331B13B">
      <w:pPr>
        <w:numPr>
          <w:ilvl w:val="0"/>
          <w:numId w:val="0"/>
        </w:numPr>
        <w:spacing w:line="440" w:lineRule="exact"/>
        <w:rPr>
          <w:rFonts w:hint="eastAsia" w:ascii="仿宋" w:hAnsi="仿宋" w:eastAsia="仿宋" w:cs="仿宋"/>
          <w:b/>
          <w:color w:val="000000" w:themeColor="text1"/>
          <w:sz w:val="24"/>
        </w:rPr>
      </w:pPr>
    </w:p>
    <w:p w14:paraId="53D93E05">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每套设备配置要求：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340"/>
        <w:gridCol w:w="3284"/>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340"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284"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CBA77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2340" w:type="dxa"/>
            <w:shd w:val="clear" w:color="auto" w:fill="auto"/>
            <w:vAlign w:val="center"/>
          </w:tcPr>
          <w:p w14:paraId="42ECF333">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PCR低温指示冰盒</w:t>
            </w:r>
          </w:p>
        </w:tc>
        <w:tc>
          <w:tcPr>
            <w:tcW w:w="3284" w:type="dxa"/>
            <w:shd w:val="clear" w:color="auto" w:fill="auto"/>
            <w:vAlign w:val="center"/>
          </w:tcPr>
          <w:p w14:paraId="54E0F7C1">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1.5-2ml，24孔</w:t>
            </w:r>
          </w:p>
        </w:tc>
        <w:tc>
          <w:tcPr>
            <w:tcW w:w="969" w:type="dxa"/>
            <w:shd w:val="clear" w:color="auto" w:fill="auto"/>
            <w:vAlign w:val="center"/>
          </w:tcPr>
          <w:p w14:paraId="73DFF0D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76FEFD8C">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006D2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2340" w:type="dxa"/>
            <w:shd w:val="clear" w:color="auto" w:fill="auto"/>
            <w:vAlign w:val="center"/>
          </w:tcPr>
          <w:p w14:paraId="31B63238">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PCR低温指示冰盒</w:t>
            </w:r>
          </w:p>
        </w:tc>
        <w:tc>
          <w:tcPr>
            <w:tcW w:w="3284" w:type="dxa"/>
            <w:shd w:val="clear" w:color="auto" w:fill="auto"/>
            <w:vAlign w:val="center"/>
          </w:tcPr>
          <w:p w14:paraId="4B81501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0.2ml，96孔</w:t>
            </w:r>
          </w:p>
        </w:tc>
        <w:tc>
          <w:tcPr>
            <w:tcW w:w="969" w:type="dxa"/>
            <w:shd w:val="clear" w:color="auto" w:fill="auto"/>
            <w:vAlign w:val="center"/>
          </w:tcPr>
          <w:p w14:paraId="358E2F0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6F4FDCA0">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6A4A414">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2340" w:type="dxa"/>
            <w:shd w:val="clear" w:color="auto" w:fill="auto"/>
            <w:vAlign w:val="center"/>
          </w:tcPr>
          <w:p w14:paraId="05C551DB">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基因扩增仪</w:t>
            </w:r>
          </w:p>
        </w:tc>
        <w:tc>
          <w:tcPr>
            <w:tcW w:w="3284" w:type="dxa"/>
            <w:shd w:val="clear" w:color="auto" w:fill="auto"/>
            <w:vAlign w:val="center"/>
          </w:tcPr>
          <w:p w14:paraId="589364C9">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1，样本通量不少于96孔/套</w:t>
            </w:r>
          </w:p>
          <w:p w14:paraId="1567F8E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2，适用耗材：支持0.2mL 96孔PCR板（全裙板、半裙板、无裙板通用），0.2mL PCR单管，0.2mL PCR 8联管</w:t>
            </w:r>
          </w:p>
          <w:p w14:paraId="2CB556AF">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3，支持断电保护</w:t>
            </w:r>
          </w:p>
          <w:p w14:paraId="2DF3F52F">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4，温控范围：4～105℃</w:t>
            </w:r>
          </w:p>
        </w:tc>
        <w:tc>
          <w:tcPr>
            <w:tcW w:w="969" w:type="dxa"/>
            <w:shd w:val="clear" w:color="auto" w:fill="auto"/>
            <w:vAlign w:val="center"/>
          </w:tcPr>
          <w:p w14:paraId="7F33DB8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76CE4BB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5454EC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2340" w:type="dxa"/>
            <w:shd w:val="clear" w:color="auto" w:fill="auto"/>
            <w:vAlign w:val="center"/>
          </w:tcPr>
          <w:p w14:paraId="48023C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全自动核酸提取仪</w:t>
            </w:r>
          </w:p>
        </w:tc>
        <w:tc>
          <w:tcPr>
            <w:tcW w:w="3284" w:type="dxa"/>
            <w:shd w:val="clear" w:color="auto" w:fill="auto"/>
            <w:vAlign w:val="center"/>
          </w:tcPr>
          <w:p w14:paraId="3B28FC5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w:t>
            </w:r>
            <w:r>
              <w:rPr>
                <w:rFonts w:hint="eastAsia" w:ascii="仿宋" w:hAnsi="仿宋" w:eastAsia="仿宋" w:cs="仿宋"/>
                <w:color w:val="000000" w:themeColor="text1"/>
                <w:sz w:val="24"/>
                <w:lang w:val="en-US" w:eastAsia="zh-CN"/>
              </w:rPr>
              <w:t>单次检测</w:t>
            </w:r>
            <w:r>
              <w:rPr>
                <w:rFonts w:hint="default" w:ascii="仿宋" w:hAnsi="仿宋" w:eastAsia="仿宋" w:cs="仿宋"/>
                <w:color w:val="000000" w:themeColor="text1"/>
                <w:sz w:val="24"/>
                <w:lang w:val="en-US" w:eastAsia="zh-CN"/>
              </w:rPr>
              <w:t>样本通量不少于</w:t>
            </w:r>
            <w:r>
              <w:rPr>
                <w:rFonts w:hint="eastAsia" w:ascii="仿宋" w:hAnsi="仿宋" w:eastAsia="仿宋" w:cs="仿宋"/>
                <w:color w:val="000000" w:themeColor="text1"/>
                <w:sz w:val="24"/>
                <w:lang w:val="en-US" w:eastAsia="zh-CN"/>
              </w:rPr>
              <w:t>48人份</w:t>
            </w:r>
          </w:p>
          <w:p w14:paraId="5C9CC043">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2，</w:t>
            </w:r>
            <w:r>
              <w:rPr>
                <w:rFonts w:hint="eastAsia" w:ascii="仿宋" w:hAnsi="仿宋" w:eastAsia="仿宋" w:cs="仿宋"/>
                <w:color w:val="000000" w:themeColor="text1"/>
                <w:sz w:val="24"/>
                <w:lang w:val="en-US" w:eastAsia="zh-CN"/>
              </w:rPr>
              <w:t>处理体积：20</w:t>
            </w:r>
            <w:r>
              <w:rPr>
                <w:rFonts w:hint="default" w:ascii="仿宋" w:hAnsi="仿宋" w:eastAsia="仿宋" w:cs="仿宋"/>
                <w:color w:val="000000" w:themeColor="text1"/>
                <w:sz w:val="24"/>
                <w:lang w:val="en-US" w:eastAsia="zh-CN"/>
              </w:rPr>
              <w:t>uL-1000ul</w:t>
            </w:r>
          </w:p>
          <w:p w14:paraId="097DBE3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3，磁珠回收率：＞9</w:t>
            </w:r>
            <w:r>
              <w:rPr>
                <w:rFonts w:hint="default" w:ascii="仿宋" w:hAnsi="仿宋" w:eastAsia="仿宋" w:cs="仿宋"/>
                <w:color w:val="000000" w:themeColor="text1"/>
                <w:sz w:val="24"/>
                <w:lang w:val="en-US" w:eastAsia="zh-CN"/>
              </w:rPr>
              <w:t>5%</w:t>
            </w:r>
          </w:p>
          <w:p w14:paraId="78EBAAB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r>
              <w:rPr>
                <w:rFonts w:hint="default" w:ascii="仿宋" w:hAnsi="仿宋" w:eastAsia="仿宋" w:cs="仿宋"/>
                <w:color w:val="000000" w:themeColor="text1"/>
                <w:sz w:val="24"/>
                <w:lang w:val="en-US" w:eastAsia="zh-CN"/>
              </w:rPr>
              <w:t>温控精度：≤±</w:t>
            </w:r>
            <w:r>
              <w:rPr>
                <w:rFonts w:hint="eastAsia" w:ascii="仿宋" w:hAnsi="仿宋" w:eastAsia="仿宋" w:cs="仿宋"/>
                <w:color w:val="000000" w:themeColor="text1"/>
                <w:sz w:val="24"/>
                <w:lang w:val="en-US" w:eastAsia="zh-CN"/>
              </w:rPr>
              <w:t>3</w:t>
            </w:r>
            <w:r>
              <w:rPr>
                <w:rFonts w:hint="default" w:ascii="仿宋" w:hAnsi="仿宋" w:eastAsia="仿宋" w:cs="仿宋"/>
                <w:color w:val="000000" w:themeColor="text1"/>
                <w:sz w:val="24"/>
                <w:lang w:val="en-US" w:eastAsia="zh-CN"/>
              </w:rPr>
              <w:t>℃</w:t>
            </w:r>
          </w:p>
          <w:p w14:paraId="700338F3">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5，提取孔间差：</w:t>
            </w:r>
            <w:r>
              <w:rPr>
                <w:rFonts w:hint="default" w:ascii="仿宋" w:hAnsi="仿宋" w:eastAsia="仿宋" w:cs="仿宋"/>
                <w:color w:val="000000" w:themeColor="text1"/>
                <w:sz w:val="24"/>
                <w:lang w:val="en-US" w:eastAsia="zh-CN"/>
              </w:rPr>
              <w:t>CV</w:t>
            </w:r>
            <w:r>
              <w:rPr>
                <w:rFonts w:hint="eastAsia" w:ascii="仿宋" w:hAnsi="仿宋" w:eastAsia="仿宋" w:cs="仿宋"/>
                <w:color w:val="000000" w:themeColor="text1"/>
                <w:sz w:val="24"/>
                <w:lang w:val="en-US" w:eastAsia="zh-CN"/>
              </w:rPr>
              <w:t>＜</w:t>
            </w:r>
            <w:r>
              <w:rPr>
                <w:rFonts w:hint="default" w:ascii="仿宋" w:hAnsi="仿宋" w:eastAsia="仿宋" w:cs="仿宋"/>
                <w:color w:val="000000" w:themeColor="text1"/>
                <w:sz w:val="24"/>
                <w:lang w:val="en-US" w:eastAsia="zh-CN"/>
              </w:rPr>
              <w:t>3%</w:t>
            </w:r>
          </w:p>
          <w:p w14:paraId="2052874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6，操作界面：中文</w:t>
            </w: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触控操作</w:t>
            </w:r>
          </w:p>
        </w:tc>
        <w:tc>
          <w:tcPr>
            <w:tcW w:w="969" w:type="dxa"/>
            <w:shd w:val="clear" w:color="auto" w:fill="auto"/>
            <w:vAlign w:val="center"/>
          </w:tcPr>
          <w:p w14:paraId="7942248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69088D6D">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套</w:t>
            </w:r>
          </w:p>
        </w:tc>
      </w:tr>
    </w:tbl>
    <w:p w14:paraId="4EC9F727">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27D3BB04">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yellow"/>
          <w:lang w:val="en-US" w:eastAsia="zh-CN"/>
        </w:rPr>
        <w:t>且原装进口产品生产日期与交货日期差值≤6个月；国产产品生产日期与交货日期差值≤3个月。（按项目调整，进口最长不超1年，国产半年）</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yellow"/>
        </w:rPr>
        <w:t>为</w:t>
      </w:r>
      <w:r>
        <w:rPr>
          <w:rFonts w:hint="eastAsia" w:ascii="仿宋" w:hAnsi="仿宋" w:eastAsia="仿宋" w:cs="仿宋"/>
          <w:b/>
          <w:bCs/>
          <w:color w:val="auto"/>
          <w:sz w:val="24"/>
          <w:highlight w:val="yellow"/>
          <w:u w:val="single"/>
        </w:rPr>
        <w:t xml:space="preserve">  </w:t>
      </w:r>
      <w:r>
        <w:rPr>
          <w:rFonts w:hint="eastAsia" w:ascii="仿宋" w:hAnsi="仿宋" w:eastAsia="仿宋" w:cs="仿宋"/>
          <w:b/>
          <w:bCs/>
          <w:color w:val="auto"/>
          <w:sz w:val="24"/>
          <w:highlight w:val="yellow"/>
          <w:u w:val="single"/>
          <w:lang w:val="en-US" w:eastAsia="zh-CN"/>
        </w:rPr>
        <w:t>8</w:t>
      </w:r>
      <w:r>
        <w:rPr>
          <w:rFonts w:hint="eastAsia" w:ascii="仿宋" w:hAnsi="仿宋" w:eastAsia="仿宋" w:cs="仿宋"/>
          <w:b/>
          <w:bCs/>
          <w:color w:val="auto"/>
          <w:sz w:val="24"/>
          <w:highlight w:val="yellow"/>
          <w:u w:val="single"/>
        </w:rPr>
        <w:t xml:space="preserve">  </w:t>
      </w:r>
      <w:r>
        <w:rPr>
          <w:rFonts w:hint="eastAsia" w:ascii="仿宋" w:hAnsi="仿宋" w:eastAsia="仿宋" w:cs="仿宋"/>
          <w:b/>
          <w:bCs/>
          <w:color w:val="auto"/>
          <w:sz w:val="24"/>
          <w:highlight w:val="yellow"/>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03AF4660">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BF13931"/>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D81D51"/>
    <w:rsid w:val="4FEB0AE2"/>
    <w:rsid w:val="513F009D"/>
    <w:rsid w:val="516D03D0"/>
    <w:rsid w:val="51CA70EA"/>
    <w:rsid w:val="53223453"/>
    <w:rsid w:val="53346A1D"/>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066808"/>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A6081B"/>
    <w:rsid w:val="78122ACD"/>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1"/>
    <w:next w:val="1"/>
    <w:qFormat/>
    <w:uiPriority w:val="0"/>
    <w:pPr>
      <w:spacing w:after="0" w:line="360" w:lineRule="auto"/>
      <w:ind w:firstLine="425"/>
    </w:pPr>
    <w:rPr>
      <w:sz w:val="24"/>
    </w:rPr>
  </w:style>
  <w:style w:type="paragraph" w:styleId="5">
    <w:name w:val="Normal Indent"/>
    <w:basedOn w:val="1"/>
    <w:qFormat/>
    <w:uiPriority w:val="0"/>
    <w:pPr>
      <w:spacing w:line="360" w:lineRule="auto"/>
      <w:ind w:firstLine="420"/>
    </w:pPr>
    <w:rPr>
      <w:rFonts w:ascii="宋体"/>
    </w:r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2667</Words>
  <Characters>2854</Characters>
  <Lines>5</Lines>
  <Paragraphs>1</Paragraphs>
  <TotalTime>0</TotalTime>
  <ScaleCrop>false</ScaleCrop>
  <LinksUpToDate>false</LinksUpToDate>
  <CharactersWithSpaces>2905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2025-04-09T01:57:21Z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