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W w:w="6104" w:type="dxa"/>
        <w:jc w:val="center"/>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1"/>
        <w:gridCol w:w="1957"/>
        <w:gridCol w:w="1916"/>
      </w:tblGrid>
      <w:tr w:rsidR="00924934" w:rsidTr="00603668">
        <w:trPr>
          <w:trHeight w:val="497"/>
          <w:jc w:val="center"/>
        </w:trPr>
        <w:tc>
          <w:tcPr>
            <w:tcW w:w="2231"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1957"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1916" w:type="dxa"/>
          </w:tcPr>
          <w:p w:rsidR="00924934" w:rsidRDefault="00924934"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r w:rsidR="009F7CD2">
              <w:rPr>
                <w:rFonts w:ascii="仿宋" w:eastAsia="仿宋" w:hAnsi="仿宋" w:cs="仿宋" w:hint="eastAsia"/>
                <w:color w:val="000000" w:themeColor="text1"/>
                <w:sz w:val="24"/>
              </w:rPr>
              <w:t>台</w:t>
            </w:r>
            <w:r>
              <w:rPr>
                <w:rFonts w:ascii="仿宋" w:eastAsia="仿宋" w:hAnsi="仿宋" w:cs="仿宋" w:hint="eastAsia"/>
                <w:color w:val="000000" w:themeColor="text1"/>
                <w:sz w:val="24"/>
              </w:rPr>
              <w:t>）</w:t>
            </w:r>
          </w:p>
        </w:tc>
      </w:tr>
      <w:tr w:rsidR="00924934" w:rsidTr="00603668">
        <w:trPr>
          <w:trHeight w:val="423"/>
          <w:jc w:val="center"/>
        </w:trPr>
        <w:tc>
          <w:tcPr>
            <w:tcW w:w="2231" w:type="dxa"/>
          </w:tcPr>
          <w:p w:rsidR="00924934" w:rsidRDefault="00603668" w:rsidP="00055341">
            <w:pPr>
              <w:spacing w:line="440" w:lineRule="exact"/>
              <w:jc w:val="center"/>
              <w:rPr>
                <w:rFonts w:ascii="仿宋" w:eastAsia="仿宋" w:hAnsi="仿宋" w:cs="仿宋"/>
                <w:color w:val="000000"/>
                <w:sz w:val="24"/>
              </w:rPr>
            </w:pPr>
            <w:r w:rsidRPr="00603668">
              <w:rPr>
                <w:rFonts w:ascii="仿宋" w:eastAsia="仿宋" w:hAnsi="仿宋" w:cs="仿宋" w:hint="eastAsia"/>
                <w:color w:val="000000"/>
                <w:sz w:val="24"/>
              </w:rPr>
              <w:t>髋关节镜手术器械</w:t>
            </w:r>
          </w:p>
        </w:tc>
        <w:tc>
          <w:tcPr>
            <w:tcW w:w="1957" w:type="dxa"/>
          </w:tcPr>
          <w:p w:rsidR="00924934" w:rsidRPr="00055341" w:rsidRDefault="00603668" w:rsidP="00055341">
            <w:pPr>
              <w:spacing w:line="440" w:lineRule="exact"/>
              <w:rPr>
                <w:rFonts w:ascii="仿宋_GB2312" w:eastAsia="仿宋_GB2312" w:hAnsi="宋体" w:cs="宋体"/>
                <w:color w:val="000000"/>
                <w:sz w:val="28"/>
                <w:szCs w:val="28"/>
              </w:rPr>
            </w:pPr>
            <w:r>
              <w:rPr>
                <w:rFonts w:ascii="仿宋" w:eastAsia="仿宋" w:hAnsi="仿宋" w:cs="仿宋" w:hint="eastAsia"/>
                <w:color w:val="000000"/>
                <w:sz w:val="24"/>
              </w:rPr>
              <w:t>骨二科</w:t>
            </w:r>
          </w:p>
        </w:tc>
        <w:tc>
          <w:tcPr>
            <w:tcW w:w="1916" w:type="dxa"/>
            <w:vAlign w:val="center"/>
          </w:tcPr>
          <w:p w:rsidR="00924934" w:rsidRPr="00F56E6B" w:rsidRDefault="00603668" w:rsidP="009F7CD2">
            <w:pPr>
              <w:spacing w:line="440" w:lineRule="exact"/>
              <w:ind w:firstLineChars="300" w:firstLine="720"/>
              <w:rPr>
                <w:rFonts w:ascii="仿宋" w:eastAsia="仿宋" w:hAnsi="仿宋" w:cs="仿宋"/>
                <w:color w:val="000000"/>
                <w:sz w:val="24"/>
              </w:rPr>
            </w:pPr>
            <w:r>
              <w:rPr>
                <w:rFonts w:ascii="仿宋" w:eastAsia="仿宋" w:hAnsi="仿宋" w:cs="仿宋" w:hint="eastAsia"/>
                <w:color w:val="000000"/>
                <w:sz w:val="24"/>
              </w:rPr>
              <w:t>一批</w:t>
            </w:r>
          </w:p>
        </w:tc>
      </w:tr>
    </w:tbl>
    <w:p w:rsidR="00796D35" w:rsidRDefault="009B5655">
      <w:pPr>
        <w:spacing w:line="440" w:lineRule="exact"/>
        <w:rPr>
          <w:rFonts w:ascii="仿宋" w:eastAsia="仿宋" w:hAnsi="仿宋" w:cs="仿宋"/>
          <w:color w:val="000000"/>
          <w:sz w:val="24"/>
        </w:rPr>
      </w:pPr>
      <w:r w:rsidRPr="00924934">
        <w:rPr>
          <w:rFonts w:ascii="仿宋" w:eastAsia="仿宋" w:hAnsi="仿宋" w:cs="仿宋" w:hint="eastAsia"/>
          <w:color w:val="000000"/>
          <w:sz w:val="24"/>
        </w:rPr>
        <w:t>核心产品：</w:t>
      </w:r>
      <w:r w:rsidR="00603668" w:rsidRPr="00603668">
        <w:rPr>
          <w:rFonts w:ascii="仿宋" w:eastAsia="仿宋" w:hAnsi="仿宋" w:cs="仿宋" w:hint="eastAsia"/>
          <w:color w:val="000000"/>
          <w:sz w:val="24"/>
        </w:rPr>
        <w:t>髋关节镜手术器械核心设备包、手术钳、抓取器械、穿刺针、导丝器和专用刮匙等，用于微创检查和治疗髋关节疾病。</w:t>
      </w:r>
      <w:r w:rsidR="00603668">
        <w:rPr>
          <w:rFonts w:ascii="仿宋" w:eastAsia="仿宋" w:hAnsi="仿宋" w:cs="仿宋"/>
          <w:color w:val="000000"/>
          <w:sz w:val="24"/>
        </w:rPr>
        <w:t xml:space="preserve"> </w:t>
      </w:r>
    </w:p>
    <w:p w:rsidR="00796D35" w:rsidRDefault="009B5655">
      <w:pPr>
        <w:spacing w:line="440" w:lineRule="exact"/>
        <w:rPr>
          <w:rFonts w:ascii="仿宋" w:eastAsia="仿宋" w:hAnsi="仿宋" w:cs="仿宋"/>
          <w:b/>
          <w:color w:val="000000"/>
          <w:sz w:val="24"/>
        </w:rPr>
      </w:pPr>
      <w:r>
        <w:rPr>
          <w:rFonts w:ascii="仿宋" w:eastAsia="仿宋" w:hAnsi="仿宋" w:cs="仿宋" w:hint="eastAsia"/>
          <w:color w:val="000000"/>
          <w:sz w:val="24"/>
        </w:rPr>
        <w:t>用途：</w:t>
      </w:r>
      <w:r w:rsidR="00603668" w:rsidRPr="00603668">
        <w:rPr>
          <w:rFonts w:ascii="仿宋" w:eastAsia="仿宋" w:hAnsi="仿宋" w:cs="仿宋" w:hint="eastAsia"/>
          <w:color w:val="000000"/>
          <w:sz w:val="24"/>
        </w:rPr>
        <w:t>髋关节镜手术器械用于微创检查和治疗髋关节疾病，如修复盂唇、清除游离体、处理软骨损伤、进行关节内病变修复及钻孔减压等。</w:t>
      </w:r>
      <w:r w:rsidR="00924934" w:rsidRPr="00924934">
        <w:rPr>
          <w:rFonts w:ascii="仿宋" w:eastAsia="仿宋" w:hAnsi="仿宋" w:cs="仿宋" w:hint="eastAsia"/>
          <w:color w:val="000000"/>
          <w:sz w:val="24"/>
        </w:rPr>
        <w:t>。</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技术参数：</w:t>
      </w:r>
    </w:p>
    <w:tbl>
      <w:tblPr>
        <w:tblW w:w="737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2060"/>
        <w:gridCol w:w="2880"/>
        <w:gridCol w:w="903"/>
        <w:gridCol w:w="713"/>
      </w:tblGrid>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b/>
                <w:bCs/>
                <w:kern w:val="0"/>
                <w:sz w:val="24"/>
              </w:rPr>
            </w:pPr>
            <w:r w:rsidRPr="00603668">
              <w:rPr>
                <w:rFonts w:ascii="宋体" w:hAnsi="宋体" w:cs="宋体" w:hint="eastAsia"/>
                <w:b/>
                <w:bCs/>
                <w:kern w:val="0"/>
                <w:sz w:val="24"/>
              </w:rPr>
              <w:t>序号</w:t>
            </w:r>
          </w:p>
        </w:tc>
        <w:tc>
          <w:tcPr>
            <w:tcW w:w="2060" w:type="dxa"/>
            <w:shd w:val="clear" w:color="auto" w:fill="auto"/>
            <w:noWrap/>
            <w:vAlign w:val="center"/>
            <w:hideMark/>
          </w:tcPr>
          <w:p w:rsidR="00603668" w:rsidRPr="00603668" w:rsidRDefault="00603668" w:rsidP="00603668">
            <w:pPr>
              <w:widowControl/>
              <w:jc w:val="center"/>
              <w:rPr>
                <w:rFonts w:ascii="宋体" w:hAnsi="宋体" w:cs="宋体"/>
                <w:b/>
                <w:bCs/>
                <w:kern w:val="0"/>
                <w:sz w:val="24"/>
              </w:rPr>
            </w:pPr>
            <w:r w:rsidRPr="00603668">
              <w:rPr>
                <w:rFonts w:ascii="宋体" w:hAnsi="宋体" w:cs="宋体" w:hint="eastAsia"/>
                <w:b/>
                <w:bCs/>
                <w:kern w:val="0"/>
                <w:sz w:val="24"/>
              </w:rPr>
              <w:t>产品名称</w:t>
            </w:r>
          </w:p>
        </w:tc>
        <w:tc>
          <w:tcPr>
            <w:tcW w:w="2880" w:type="dxa"/>
            <w:shd w:val="clear" w:color="auto" w:fill="auto"/>
            <w:noWrap/>
            <w:vAlign w:val="center"/>
            <w:hideMark/>
          </w:tcPr>
          <w:p w:rsidR="00603668" w:rsidRPr="00603668" w:rsidRDefault="00603668" w:rsidP="00603668">
            <w:pPr>
              <w:widowControl/>
              <w:jc w:val="center"/>
              <w:rPr>
                <w:rFonts w:ascii="宋体" w:hAnsi="宋体" w:cs="宋体"/>
                <w:b/>
                <w:bCs/>
                <w:kern w:val="0"/>
                <w:sz w:val="24"/>
              </w:rPr>
            </w:pPr>
            <w:r w:rsidRPr="00603668">
              <w:rPr>
                <w:rFonts w:ascii="宋体" w:hAnsi="宋体" w:cs="宋体" w:hint="eastAsia"/>
                <w:b/>
                <w:bCs/>
                <w:kern w:val="0"/>
                <w:sz w:val="24"/>
              </w:rPr>
              <w:t>规格型号</w:t>
            </w:r>
          </w:p>
        </w:tc>
        <w:tc>
          <w:tcPr>
            <w:tcW w:w="903" w:type="dxa"/>
            <w:shd w:val="clear" w:color="auto" w:fill="auto"/>
            <w:noWrap/>
            <w:vAlign w:val="center"/>
            <w:hideMark/>
          </w:tcPr>
          <w:p w:rsidR="00603668" w:rsidRPr="00603668" w:rsidRDefault="00603668" w:rsidP="00603668">
            <w:pPr>
              <w:widowControl/>
              <w:jc w:val="center"/>
              <w:rPr>
                <w:rFonts w:ascii="宋体" w:hAnsi="宋体" w:cs="宋体"/>
                <w:b/>
                <w:bCs/>
                <w:kern w:val="0"/>
                <w:sz w:val="24"/>
              </w:rPr>
            </w:pPr>
            <w:r w:rsidRPr="00603668">
              <w:rPr>
                <w:rFonts w:ascii="宋体" w:hAnsi="宋体" w:cs="宋体" w:hint="eastAsia"/>
                <w:b/>
                <w:bCs/>
                <w:kern w:val="0"/>
                <w:sz w:val="24"/>
              </w:rPr>
              <w:t>单位</w:t>
            </w:r>
          </w:p>
        </w:tc>
        <w:tc>
          <w:tcPr>
            <w:tcW w:w="713" w:type="dxa"/>
            <w:shd w:val="clear" w:color="auto" w:fill="auto"/>
            <w:vAlign w:val="center"/>
            <w:hideMark/>
          </w:tcPr>
          <w:p w:rsidR="00603668" w:rsidRPr="00603668" w:rsidRDefault="00603668" w:rsidP="00603668">
            <w:pPr>
              <w:widowControl/>
              <w:jc w:val="center"/>
              <w:rPr>
                <w:rFonts w:ascii="宋体" w:hAnsi="宋体" w:cs="宋体"/>
                <w:b/>
                <w:bCs/>
                <w:kern w:val="0"/>
                <w:sz w:val="24"/>
              </w:rPr>
            </w:pPr>
            <w:r w:rsidRPr="00603668">
              <w:rPr>
                <w:rFonts w:ascii="宋体" w:hAnsi="宋体" w:cs="宋体" w:hint="eastAsia"/>
                <w:b/>
                <w:bCs/>
                <w:kern w:val="0"/>
                <w:sz w:val="24"/>
              </w:rPr>
              <w:t>数量</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夹持钳</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抓线钳 215mm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2</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夹持钳</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软组织抓钳 215*3.5mm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3</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夹持钳</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抓线钳 215mm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4</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夹持钳</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抓线钳 215mm*1.3mm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lastRenderedPageBreak/>
              <w:t>5</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肌腱钳</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篮钳 215*5.5mm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6</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膝关节韧带手术剪</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剪线钳 220mm*4.1mm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7</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骨锥</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软骨锥V型 180°</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8</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骨锥</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软骨锥V型 30°</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9</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骨锥</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软骨锥V型 45°</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10</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骨锥</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软骨锥V型 90°</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11</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骨刮匙</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软骨空心（椭圆头） 220*3.9mm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12</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骨刮匙</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前弯 220*3.9mm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13</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骨导引器</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扩张器 5.2mm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14</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骨导引器</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扩张器 6.0mm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15</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骨导引器</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扩张器 4.6mm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16</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骨凿</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骨铲 4.6mm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17</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骨探针</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探钩 φ1.5*3.4mm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18</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导钻</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导向器 5.8mm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19</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骨测量器</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测量棒 350*φ3.2</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个</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20</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套筒</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槽缝套管 5.0mm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21</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套筒</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槽缝套管 6.7mm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22</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削切刀</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切刀 220mm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23</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骨定位针</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交换棒 φ3.5*368mm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24</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骨科用穿线器</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钩线器 320mm</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25</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骨科用穿线器</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推结器V型 Φ1.3</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把</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r w:rsidR="00603668" w:rsidRPr="00603668" w:rsidTr="00603668">
        <w:trPr>
          <w:trHeight w:val="284"/>
        </w:trPr>
        <w:tc>
          <w:tcPr>
            <w:tcW w:w="82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26</w:t>
            </w:r>
          </w:p>
        </w:tc>
        <w:tc>
          <w:tcPr>
            <w:tcW w:w="2060"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髋关节器械盒</w:t>
            </w:r>
          </w:p>
        </w:tc>
        <w:tc>
          <w:tcPr>
            <w:tcW w:w="2880" w:type="dxa"/>
            <w:shd w:val="clear" w:color="auto" w:fill="auto"/>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w:t>
            </w:r>
          </w:p>
        </w:tc>
        <w:tc>
          <w:tcPr>
            <w:tcW w:w="90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个</w:t>
            </w:r>
          </w:p>
        </w:tc>
        <w:tc>
          <w:tcPr>
            <w:tcW w:w="713" w:type="dxa"/>
            <w:shd w:val="clear" w:color="auto" w:fill="auto"/>
            <w:noWrap/>
            <w:vAlign w:val="center"/>
            <w:hideMark/>
          </w:tcPr>
          <w:p w:rsidR="00603668" w:rsidRPr="00603668" w:rsidRDefault="00603668" w:rsidP="00603668">
            <w:pPr>
              <w:widowControl/>
              <w:jc w:val="center"/>
              <w:rPr>
                <w:rFonts w:ascii="宋体" w:hAnsi="宋体" w:cs="宋体"/>
                <w:kern w:val="0"/>
                <w:sz w:val="22"/>
                <w:szCs w:val="22"/>
              </w:rPr>
            </w:pPr>
            <w:r w:rsidRPr="00603668">
              <w:rPr>
                <w:rFonts w:ascii="宋体" w:hAnsi="宋体" w:cs="宋体" w:hint="eastAsia"/>
                <w:kern w:val="0"/>
                <w:sz w:val="22"/>
                <w:szCs w:val="22"/>
              </w:rPr>
              <w:t>1</w:t>
            </w:r>
          </w:p>
        </w:tc>
      </w:tr>
    </w:tbl>
    <w:p w:rsidR="00796D35" w:rsidRPr="00603668" w:rsidRDefault="00E01FE4">
      <w:pPr>
        <w:spacing w:line="440" w:lineRule="exact"/>
        <w:rPr>
          <w:rFonts w:ascii="仿宋" w:eastAsia="仿宋" w:hAnsi="仿宋" w:cs="仿宋"/>
          <w:color w:val="000000"/>
          <w:sz w:val="24"/>
        </w:rPr>
      </w:pPr>
      <w:r>
        <w:rPr>
          <w:rFonts w:ascii="仿宋" w:eastAsia="仿宋" w:hAnsi="仿宋" w:cs="仿宋"/>
          <w:color w:val="000000"/>
          <w:sz w:val="24"/>
        </w:rPr>
        <w:t>报名产品规格型号在上述</w:t>
      </w:r>
      <w:r w:rsidR="00603668">
        <w:rPr>
          <w:rFonts w:ascii="仿宋" w:eastAsia="仿宋" w:hAnsi="仿宋" w:cs="仿宋"/>
          <w:color w:val="000000"/>
          <w:sz w:val="24"/>
        </w:rPr>
        <w:t>范围±</w:t>
      </w:r>
      <w:r w:rsidR="00603668">
        <w:rPr>
          <w:rFonts w:ascii="仿宋" w:eastAsia="仿宋" w:hAnsi="仿宋" w:cs="仿宋" w:hint="eastAsia"/>
          <w:color w:val="000000"/>
          <w:sz w:val="24"/>
        </w:rPr>
        <w:t>10%</w:t>
      </w:r>
      <w:r>
        <w:rPr>
          <w:rFonts w:ascii="仿宋" w:eastAsia="仿宋" w:hAnsi="仿宋" w:cs="仿宋" w:hint="eastAsia"/>
          <w:color w:val="000000"/>
          <w:sz w:val="24"/>
        </w:rPr>
        <w:t>内，均属于符合需求。</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每套设备配置要求：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4"/>
        <w:gridCol w:w="3438"/>
        <w:gridCol w:w="2937"/>
      </w:tblGrid>
      <w:tr w:rsidR="00796D35">
        <w:trPr>
          <w:trHeight w:val="438"/>
        </w:trPr>
        <w:tc>
          <w:tcPr>
            <w:tcW w:w="1258" w:type="pct"/>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2018" w:type="pct"/>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名称</w:t>
            </w:r>
          </w:p>
        </w:tc>
        <w:tc>
          <w:tcPr>
            <w:tcW w:w="1724" w:type="pct"/>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数量</w:t>
            </w:r>
          </w:p>
        </w:tc>
      </w:tr>
      <w:tr w:rsidR="00A84A11" w:rsidTr="00EA3DDD">
        <w:tc>
          <w:tcPr>
            <w:tcW w:w="1258" w:type="pct"/>
          </w:tcPr>
          <w:p w:rsidR="00A84A11" w:rsidRDefault="00A84A11">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2018" w:type="pct"/>
          </w:tcPr>
          <w:p w:rsidR="00A84A11" w:rsidRPr="00A456B6" w:rsidRDefault="00603668" w:rsidP="002D0CFF">
            <w:pPr>
              <w:spacing w:line="440" w:lineRule="exact"/>
            </w:pPr>
            <w:r>
              <w:rPr>
                <w:rFonts w:hint="eastAsia"/>
              </w:rPr>
              <w:t>合格证</w:t>
            </w:r>
          </w:p>
        </w:tc>
        <w:tc>
          <w:tcPr>
            <w:tcW w:w="1724" w:type="pct"/>
          </w:tcPr>
          <w:p w:rsidR="00A84A11" w:rsidRPr="00A456B6" w:rsidRDefault="00A84A11" w:rsidP="002D0CFF">
            <w:pPr>
              <w:spacing w:line="440" w:lineRule="exact"/>
            </w:pPr>
            <w:r w:rsidRPr="00A456B6">
              <w:rPr>
                <w:rFonts w:hint="eastAsia"/>
              </w:rPr>
              <w:t>1</w:t>
            </w:r>
          </w:p>
        </w:tc>
      </w:tr>
    </w:tbl>
    <w:p w:rsidR="00796D35" w:rsidRDefault="009B5655">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0" w:name="_GoBack"/>
      <w:bookmarkEnd w:id="0"/>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A86E11">
        <w:rPr>
          <w:rFonts w:ascii="仿宋" w:eastAsia="仿宋" w:hAnsi="仿宋" w:cs="仿宋" w:hint="eastAsia"/>
          <w:color w:val="000000"/>
          <w:sz w:val="24"/>
        </w:rPr>
        <w:t>1</w:t>
      </w:r>
      <w:r>
        <w:rPr>
          <w:rFonts w:ascii="仿宋" w:eastAsia="仿宋" w:hAnsi="仿宋" w:cs="仿宋" w:hint="eastAsia"/>
          <w:color w:val="000000"/>
          <w:sz w:val="24"/>
        </w:rPr>
        <w:t xml:space="preserve">  年。</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w:t>
      </w:r>
      <w:r w:rsidR="0032715C">
        <w:rPr>
          <w:rFonts w:ascii="仿宋" w:eastAsia="仿宋" w:hAnsi="仿宋" w:cs="仿宋" w:hint="eastAsia"/>
          <w:sz w:val="24"/>
        </w:rPr>
        <w:t>二</w:t>
      </w:r>
      <w:r>
        <w:rPr>
          <w:rFonts w:ascii="仿宋" w:eastAsia="仿宋" w:hAnsi="仿宋" w:cs="仿宋" w:hint="eastAsia"/>
          <w:sz w:val="24"/>
        </w:rPr>
        <w:t>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759" w:rsidRDefault="00023759" w:rsidP="00055341">
      <w:r>
        <w:separator/>
      </w:r>
    </w:p>
  </w:endnote>
  <w:endnote w:type="continuationSeparator" w:id="0">
    <w:p w:rsidR="00023759" w:rsidRDefault="00023759"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759" w:rsidRDefault="00023759" w:rsidP="00055341">
      <w:r>
        <w:separator/>
      </w:r>
    </w:p>
  </w:footnote>
  <w:footnote w:type="continuationSeparator" w:id="0">
    <w:p w:rsidR="00023759" w:rsidRDefault="00023759"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abstractNum w:abstractNumId="4">
    <w:nsid w:val="68CF8F3E"/>
    <w:multiLevelType w:val="singleLevel"/>
    <w:tmpl w:val="68CF8F3E"/>
    <w:lvl w:ilvl="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23759"/>
    <w:rsid w:val="00055341"/>
    <w:rsid w:val="000C4E8E"/>
    <w:rsid w:val="000D4823"/>
    <w:rsid w:val="00101055"/>
    <w:rsid w:val="00142C94"/>
    <w:rsid w:val="00172098"/>
    <w:rsid w:val="001A2E0A"/>
    <w:rsid w:val="001C3436"/>
    <w:rsid w:val="001D0BF9"/>
    <w:rsid w:val="00205A81"/>
    <w:rsid w:val="0021765C"/>
    <w:rsid w:val="0028126D"/>
    <w:rsid w:val="00293342"/>
    <w:rsid w:val="002B351A"/>
    <w:rsid w:val="002D465D"/>
    <w:rsid w:val="0032715C"/>
    <w:rsid w:val="0035345C"/>
    <w:rsid w:val="003A3903"/>
    <w:rsid w:val="003F4B3D"/>
    <w:rsid w:val="00506C5F"/>
    <w:rsid w:val="00527C0D"/>
    <w:rsid w:val="00544162"/>
    <w:rsid w:val="005459E1"/>
    <w:rsid w:val="00581B14"/>
    <w:rsid w:val="00603668"/>
    <w:rsid w:val="0063702E"/>
    <w:rsid w:val="00697BB0"/>
    <w:rsid w:val="006F5039"/>
    <w:rsid w:val="00714732"/>
    <w:rsid w:val="00796D35"/>
    <w:rsid w:val="00857394"/>
    <w:rsid w:val="00857CF3"/>
    <w:rsid w:val="00860BDF"/>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01FE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uiPriority w:val="59"/>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0691178">
      <w:bodyDiv w:val="1"/>
      <w:marLeft w:val="0"/>
      <w:marRight w:val="0"/>
      <w:marTop w:val="0"/>
      <w:marBottom w:val="0"/>
      <w:divBdr>
        <w:top w:val="none" w:sz="0" w:space="0" w:color="auto"/>
        <w:left w:val="none" w:sz="0" w:space="0" w:color="auto"/>
        <w:bottom w:val="none" w:sz="0" w:space="0" w:color="auto"/>
        <w:right w:val="none" w:sz="0" w:space="0" w:color="auto"/>
      </w:divBdr>
    </w:div>
    <w:div w:id="265624979">
      <w:bodyDiv w:val="1"/>
      <w:marLeft w:val="0"/>
      <w:marRight w:val="0"/>
      <w:marTop w:val="0"/>
      <w:marBottom w:val="0"/>
      <w:divBdr>
        <w:top w:val="none" w:sz="0" w:space="0" w:color="auto"/>
        <w:left w:val="none" w:sz="0" w:space="0" w:color="auto"/>
        <w:bottom w:val="none" w:sz="0" w:space="0" w:color="auto"/>
        <w:right w:val="none" w:sz="0" w:space="0" w:color="auto"/>
      </w:divBdr>
    </w:div>
    <w:div w:id="1457136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B5DA9-EBD4-4ED8-80EB-6882719C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7</cp:revision>
  <dcterms:created xsi:type="dcterms:W3CDTF">2024-11-15T06:39:00Z</dcterms:created>
  <dcterms:modified xsi:type="dcterms:W3CDTF">2025-03-19T09:45:00Z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