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一次性游泳薄膜袋采购项目市场调研报价表</w:t>
      </w:r>
    </w:p>
    <w:tbl>
      <w:tblPr>
        <w:tblStyle w:val="2"/>
        <w:tblW w:w="10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4811"/>
        <w:gridCol w:w="409"/>
        <w:gridCol w:w="805"/>
        <w:gridCol w:w="521"/>
        <w:gridCol w:w="1390"/>
        <w:gridCol w:w="900"/>
        <w:gridCol w:w="872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物品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(完全响应/正偏离/负偏离)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一次性游泳薄膜袋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5FA0">
            <w:pPr>
              <w:spacing w:line="360" w:lineRule="auto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1、规格：120cm×160cm（偏差不得超过10cm）。</w:t>
            </w:r>
          </w:p>
          <w:p w14:paraId="6A83374B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2、材质：医用塑料PO（HDPE，高密度聚乙烯）。</w:t>
            </w:r>
          </w:p>
          <w:p w14:paraId="7B37711A">
            <w:pPr>
              <w:spacing w:line="360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3、拉伸强度≥15MP。</w:t>
            </w:r>
          </w:p>
          <w:p w14:paraId="35E8A00C">
            <w:pPr>
              <w:spacing w:line="360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4、断裂伸长率≥400%。</w:t>
            </w:r>
          </w:p>
          <w:p w14:paraId="254D4E55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5、直角撕裂强度≥40N/cm。</w:t>
            </w:r>
          </w:p>
          <w:p w14:paraId="4ECD642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6、颜色：无色透明。</w:t>
            </w:r>
          </w:p>
          <w:p w14:paraId="3A03B67D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7、厚度：≥1.5C，保证100%杜绝漏水。</w:t>
            </w:r>
          </w:p>
          <w:p w14:paraId="3B40B082">
            <w:pPr>
              <w:spacing w:line="360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8、产品安全、无毒无味，不得含有镉、铅、汞、六价铬、多溴联苯、多溴二苯醚、邻苯二甲酸酯，可防止婴儿过敏、交叉感染产生。</w:t>
            </w:r>
          </w:p>
          <w:p w14:paraId="0688B8F9">
            <w:pPr>
              <w:spacing w:line="360" w:lineRule="auto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9、具备第三方权威检测部门出具的合格检测报告。</w:t>
            </w:r>
          </w:p>
          <w:p w14:paraId="13DCF4A9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10、产品销售包装标志：产品名称、商标、标准编号、生产日期和保质期或生产批号和限用日期、合格标志、生产企业（或产品责任单位）名称、详细地址等符合标准要求。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</w:tbl>
    <w:p w14:paraId="3613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1、报价响应时需同时提供产品合格检测报告、营业执照、相关资质等资料。</w:t>
      </w:r>
    </w:p>
    <w:p w14:paraId="128C5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数量为预估数量，供货期一年内采取协议供货的方式，按需供货，按实结算。</w:t>
      </w:r>
    </w:p>
    <w:p w14:paraId="25666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/>
          <w:b w:val="0"/>
          <w:bCs w:val="0"/>
          <w:sz w:val="24"/>
          <w:szCs w:val="24"/>
        </w:rPr>
        <w:t>报价应为人民币含税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普票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全包价，包括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 w:val="0"/>
          <w:bCs w:val="0"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 w:val="0"/>
          <w:bCs w:val="0"/>
          <w:sz w:val="24"/>
          <w:szCs w:val="24"/>
        </w:rPr>
        <w:t>需要的其他费用等。</w:t>
      </w:r>
    </w:p>
    <w:p w14:paraId="4522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报价公司（盖章）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13601A1E"/>
    <w:rsid w:val="1D493D72"/>
    <w:rsid w:val="1FD0087F"/>
    <w:rsid w:val="23883035"/>
    <w:rsid w:val="31AD213E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515</Characters>
  <Lines>0</Lines>
  <Paragraphs>0</Paragraphs>
  <TotalTime>6</TotalTime>
  <ScaleCrop>false</ScaleCrop>
  <LinksUpToDate>false</LinksUpToDate>
  <CharactersWithSpaces>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2025-03-18T08:17:14Z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