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7134" w:type="dxa"/>
        <w:jc w:val="center"/>
        <w:tblInd w:w="-1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957"/>
        <w:gridCol w:w="1916"/>
      </w:tblGrid>
      <w:tr w:rsidR="00924934" w:rsidTr="00B74E07">
        <w:trPr>
          <w:trHeight w:val="497"/>
          <w:jc w:val="center"/>
        </w:trPr>
        <w:tc>
          <w:tcPr>
            <w:tcW w:w="3261"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B74E07">
        <w:trPr>
          <w:trHeight w:val="423"/>
          <w:jc w:val="center"/>
        </w:trPr>
        <w:tc>
          <w:tcPr>
            <w:tcW w:w="3261" w:type="dxa"/>
          </w:tcPr>
          <w:p w:rsidR="00924934" w:rsidRDefault="00B74E07" w:rsidP="00055341">
            <w:pPr>
              <w:spacing w:line="440" w:lineRule="exact"/>
              <w:jc w:val="center"/>
              <w:rPr>
                <w:rFonts w:ascii="仿宋" w:eastAsia="仿宋" w:hAnsi="仿宋" w:cs="仿宋"/>
                <w:color w:val="000000"/>
                <w:sz w:val="24"/>
              </w:rPr>
            </w:pPr>
            <w:r>
              <w:rPr>
                <w:rFonts w:ascii="仿宋" w:eastAsia="仿宋" w:hAnsi="仿宋" w:cs="仿宋" w:hint="eastAsia"/>
                <w:color w:val="000000" w:themeColor="text1"/>
                <w:sz w:val="24"/>
              </w:rPr>
              <w:t>电动升降手法床（电动多功能理疗床）</w:t>
            </w:r>
          </w:p>
        </w:tc>
        <w:tc>
          <w:tcPr>
            <w:tcW w:w="1957" w:type="dxa"/>
          </w:tcPr>
          <w:p w:rsidR="00924934" w:rsidRPr="00055341" w:rsidRDefault="00B74E07"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themeColor="text1"/>
                <w:sz w:val="24"/>
              </w:rPr>
              <w:t>康复科</w:t>
            </w:r>
          </w:p>
        </w:tc>
        <w:tc>
          <w:tcPr>
            <w:tcW w:w="1916" w:type="dxa"/>
            <w:vAlign w:val="center"/>
          </w:tcPr>
          <w:p w:rsidR="00924934" w:rsidRPr="00F56E6B" w:rsidRDefault="00B74E07"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sz w:val="24"/>
              </w:rPr>
              <w:t>3</w:t>
            </w:r>
          </w:p>
        </w:tc>
      </w:tr>
    </w:tbl>
    <w:p w:rsidR="008A6A20" w:rsidRDefault="009B5655">
      <w:pPr>
        <w:spacing w:line="440" w:lineRule="exact"/>
        <w:rPr>
          <w:rFonts w:ascii="system-ui" w:hAnsi="system-ui" w:hint="eastAsia"/>
          <w:color w:val="000000"/>
          <w:szCs w:val="21"/>
          <w:shd w:val="clear" w:color="auto" w:fill="FFFFFF"/>
        </w:rPr>
      </w:pPr>
      <w:r w:rsidRPr="00924934">
        <w:rPr>
          <w:rFonts w:ascii="仿宋" w:eastAsia="仿宋" w:hAnsi="仿宋" w:cs="仿宋" w:hint="eastAsia"/>
          <w:color w:val="000000"/>
          <w:sz w:val="24"/>
        </w:rPr>
        <w:t>核心产品：</w:t>
      </w:r>
      <w:r w:rsidR="008A6A20" w:rsidRPr="008A6A20">
        <w:rPr>
          <w:rFonts w:ascii="仿宋" w:eastAsia="仿宋" w:hAnsi="仿宋" w:cs="仿宋"/>
          <w:color w:val="000000"/>
          <w:sz w:val="24"/>
        </w:rPr>
        <w:t>电动升降手法床主要由坚固床架、电动升降系统、多段位调节机构、可调扶手及腿部支撑组成。电动系统灵活调高，多段位机构精准变位，扶手升降旋转保障安全，腿部支撑独立调节，为康复理疗提供舒适稳定平台。</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B74E07" w:rsidRPr="00B74E07">
        <w:rPr>
          <w:rFonts w:ascii="仿宋" w:eastAsia="仿宋" w:hAnsi="仿宋" w:cs="仿宋" w:hint="eastAsia"/>
          <w:color w:val="000000"/>
          <w:sz w:val="24"/>
        </w:rPr>
        <w:t>用于多种手法治疗，如麦肯基诊疗法、美式整脊疗法、澳式关节松动术等。</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9F7CD2">
        <w:trPr>
          <w:jc w:val="center"/>
        </w:trPr>
        <w:tc>
          <w:tcPr>
            <w:tcW w:w="696" w:type="dxa"/>
          </w:tcPr>
          <w:p w:rsidR="009F7CD2" w:rsidRDefault="009F7CD2">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9F7CD2" w:rsidRPr="003C22C4" w:rsidRDefault="00B74E07" w:rsidP="00355302">
            <w:pPr>
              <w:pStyle w:val="a4"/>
            </w:pPr>
            <w:r>
              <w:rPr>
                <w:rFonts w:ascii="宋体" w:hAnsi="宋体" w:hint="eastAsia"/>
                <w:sz w:val="24"/>
              </w:rPr>
              <w:t>产品尺寸规格：</w:t>
            </w:r>
            <m:oMath>
              <m:r>
                <m:rPr>
                  <m:sty m:val="p"/>
                </m:rPr>
                <w:rPr>
                  <w:rFonts w:ascii="Cambria Math" w:hAnsi="Cambria Math"/>
                  <w:sz w:val="24"/>
                </w:rPr>
                <m:t>≥</m:t>
              </m:r>
            </m:oMath>
            <w:r>
              <w:rPr>
                <w:rFonts w:ascii="宋体" w:hAnsi="宋体"/>
                <w:sz w:val="24"/>
              </w:rPr>
              <w:t>19</w:t>
            </w:r>
            <w:r>
              <w:rPr>
                <w:rFonts w:ascii="宋体" w:hAnsi="宋体" w:hint="eastAsia"/>
                <w:sz w:val="24"/>
              </w:rPr>
              <w:t>5</w:t>
            </w:r>
            <w:r>
              <w:rPr>
                <w:rFonts w:ascii="宋体" w:hAnsi="宋体"/>
                <w:sz w:val="24"/>
              </w:rPr>
              <w:t>x</w:t>
            </w:r>
            <w:r>
              <w:rPr>
                <w:rFonts w:ascii="宋体" w:hAnsi="宋体" w:hint="eastAsia"/>
                <w:sz w:val="24"/>
              </w:rPr>
              <w:t>66</w:t>
            </w:r>
            <w:r>
              <w:rPr>
                <w:rFonts w:ascii="宋体" w:hAnsi="宋体"/>
                <w:sz w:val="24"/>
              </w:rPr>
              <w:t>x(</w:t>
            </w:r>
            <w:r>
              <w:rPr>
                <w:rFonts w:ascii="宋体" w:hAnsi="宋体" w:hint="eastAsia"/>
                <w:sz w:val="24"/>
              </w:rPr>
              <w:t>5</w:t>
            </w:r>
            <w:r w:rsidR="00355302">
              <w:rPr>
                <w:rFonts w:ascii="宋体" w:hAnsi="宋体" w:hint="eastAsia"/>
                <w:sz w:val="24"/>
              </w:rPr>
              <w:t>8</w:t>
            </w:r>
            <w:r>
              <w:rPr>
                <w:rFonts w:ascii="宋体" w:hAnsi="宋体" w:hint="eastAsia"/>
                <w:sz w:val="24"/>
              </w:rPr>
              <w:t>-9</w:t>
            </w:r>
            <w:r w:rsidR="00355302">
              <w:rPr>
                <w:rFonts w:ascii="宋体" w:hAnsi="宋体" w:hint="eastAsia"/>
                <w:sz w:val="24"/>
              </w:rPr>
              <w:t>3</w:t>
            </w:r>
            <w:r>
              <w:rPr>
                <w:rFonts w:ascii="宋体" w:hAnsi="宋体"/>
                <w:sz w:val="24"/>
              </w:rPr>
              <w:t>)cm</w:t>
            </w:r>
            <w:r w:rsidRPr="003C22C4">
              <w:t xml:space="preserve"> </w:t>
            </w:r>
          </w:p>
        </w:tc>
      </w:tr>
      <w:tr w:rsidR="009F7CD2">
        <w:trPr>
          <w:jc w:val="center"/>
        </w:trPr>
        <w:tc>
          <w:tcPr>
            <w:tcW w:w="696" w:type="dxa"/>
          </w:tcPr>
          <w:p w:rsidR="009F7CD2" w:rsidRDefault="00A456B6" w:rsidP="00A84A11">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7599" w:type="dxa"/>
          </w:tcPr>
          <w:p w:rsidR="009F7CD2" w:rsidRPr="003C22C4" w:rsidRDefault="00B74E07" w:rsidP="006640E7">
            <w:pPr>
              <w:pStyle w:val="a4"/>
            </w:pPr>
            <w:r>
              <w:rPr>
                <w:rFonts w:ascii="宋体" w:hAnsi="宋体" w:hint="eastAsia"/>
                <w:sz w:val="24"/>
              </w:rPr>
              <w:t>承重：</w:t>
            </w:r>
            <m:oMath>
              <m:r>
                <m:rPr>
                  <m:sty m:val="p"/>
                </m:rPr>
                <w:rPr>
                  <w:rFonts w:ascii="Cambria Math" w:hAnsi="Cambria Math"/>
                  <w:sz w:val="24"/>
                </w:rPr>
                <m:t>≥</m:t>
              </m:r>
            </m:oMath>
            <w:r w:rsidR="006640E7">
              <w:rPr>
                <w:rFonts w:ascii="宋体" w:hAnsi="宋体" w:hint="eastAsia"/>
                <w:sz w:val="24"/>
              </w:rPr>
              <w:t>175</w:t>
            </w:r>
            <w:r>
              <w:rPr>
                <w:rFonts w:ascii="宋体" w:hAnsi="宋体" w:hint="eastAsia"/>
                <w:sz w:val="24"/>
              </w:rPr>
              <w:t>kg</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3</w:t>
            </w:r>
          </w:p>
        </w:tc>
        <w:tc>
          <w:tcPr>
            <w:tcW w:w="7599" w:type="dxa"/>
          </w:tcPr>
          <w:p w:rsidR="009F7CD2" w:rsidRPr="003C22C4" w:rsidRDefault="00B74E07" w:rsidP="00355302">
            <w:pPr>
              <w:pStyle w:val="a4"/>
            </w:pPr>
            <w:r>
              <w:rPr>
                <w:rFonts w:ascii="宋体" w:hAnsi="宋体" w:hint="eastAsia"/>
                <w:sz w:val="24"/>
              </w:rPr>
              <w:t>升降高度：</w:t>
            </w:r>
            <m:oMath>
              <m:r>
                <m:rPr>
                  <m:sty m:val="p"/>
                </m:rPr>
                <w:rPr>
                  <w:rFonts w:ascii="Cambria Math" w:hAnsi="Cambria Math"/>
                  <w:sz w:val="24"/>
                </w:rPr>
                <m:t>≥</m:t>
              </m:r>
            </m:oMath>
            <w:r>
              <w:rPr>
                <w:rFonts w:ascii="宋体" w:hAnsi="宋体" w:hint="eastAsia"/>
                <w:sz w:val="24"/>
              </w:rPr>
              <w:t>5</w:t>
            </w:r>
            <w:r w:rsidR="00355302">
              <w:rPr>
                <w:rFonts w:ascii="宋体" w:hAnsi="宋体" w:hint="eastAsia"/>
                <w:sz w:val="24"/>
              </w:rPr>
              <w:t>8</w:t>
            </w:r>
            <w:r>
              <w:rPr>
                <w:rFonts w:ascii="宋体" w:hAnsi="宋体" w:hint="eastAsia"/>
                <w:sz w:val="24"/>
              </w:rPr>
              <w:t>-9</w:t>
            </w:r>
            <w:r w:rsidR="00355302">
              <w:rPr>
                <w:rFonts w:ascii="宋体" w:hAnsi="宋体" w:hint="eastAsia"/>
                <w:sz w:val="24"/>
              </w:rPr>
              <w:t>3</w:t>
            </w:r>
            <w:r>
              <w:rPr>
                <w:rFonts w:ascii="宋体" w:hAnsi="宋体" w:hint="eastAsia"/>
                <w:sz w:val="24"/>
              </w:rPr>
              <w:t>cm</w:t>
            </w:r>
          </w:p>
        </w:tc>
      </w:tr>
      <w:tr w:rsidR="009F7CD2" w:rsidTr="00CE6203">
        <w:trPr>
          <w:trHeight w:val="252"/>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7599" w:type="dxa"/>
          </w:tcPr>
          <w:p w:rsidR="009F7CD2" w:rsidRPr="003C22C4" w:rsidRDefault="00BC7D51" w:rsidP="00FD2419">
            <w:pPr>
              <w:pStyle w:val="a4"/>
            </w:pPr>
            <w:r w:rsidRPr="008D6724">
              <w:rPr>
                <w:rFonts w:ascii="宋体" w:hAnsi="宋体" w:hint="eastAsia"/>
                <w:sz w:val="24"/>
              </w:rPr>
              <w:t>第一段长度可调节角度：</w:t>
            </w:r>
            <m:oMath>
              <m:r>
                <m:rPr>
                  <m:sty m:val="p"/>
                </m:rPr>
                <w:rPr>
                  <w:rFonts w:ascii="Cambria Math" w:hAnsi="Cambria Math"/>
                  <w:sz w:val="24"/>
                </w:rPr>
                <m:t>≥</m:t>
              </m:r>
            </m:oMath>
            <w:r w:rsidRPr="008D6724">
              <w:rPr>
                <w:rFonts w:ascii="宋体" w:hAnsi="宋体" w:hint="eastAsia"/>
                <w:sz w:val="24"/>
              </w:rPr>
              <w:t>-</w:t>
            </w:r>
            <w:r>
              <w:rPr>
                <w:rFonts w:ascii="宋体" w:hAnsi="宋体" w:hint="eastAsia"/>
                <w:sz w:val="24"/>
              </w:rPr>
              <w:t>3</w:t>
            </w:r>
            <w:r w:rsidRPr="008D6724">
              <w:rPr>
                <w:rFonts w:ascii="宋体" w:hAnsi="宋体" w:hint="eastAsia"/>
                <w:sz w:val="24"/>
              </w:rPr>
              <w:t>0度到</w:t>
            </w:r>
            <w:r>
              <w:rPr>
                <w:rFonts w:ascii="宋体" w:hAnsi="宋体" w:hint="eastAsia"/>
                <w:sz w:val="24"/>
              </w:rPr>
              <w:t>3</w:t>
            </w:r>
            <w:r w:rsidRPr="008D6724">
              <w:rPr>
                <w:rFonts w:ascii="宋体" w:hAnsi="宋体" w:hint="eastAsia"/>
                <w:sz w:val="24"/>
              </w:rPr>
              <w:t>5度；</w:t>
            </w:r>
          </w:p>
        </w:tc>
      </w:tr>
      <w:tr w:rsidR="00FD2419">
        <w:trPr>
          <w:jc w:val="center"/>
        </w:trPr>
        <w:tc>
          <w:tcPr>
            <w:tcW w:w="696" w:type="dxa"/>
          </w:tcPr>
          <w:p w:rsidR="00FD2419" w:rsidRDefault="00FD2419">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7599" w:type="dxa"/>
          </w:tcPr>
          <w:p w:rsidR="00FD2419" w:rsidRPr="008D6724" w:rsidRDefault="00FD2419" w:rsidP="006640E7">
            <w:pPr>
              <w:spacing w:line="360" w:lineRule="auto"/>
              <w:rPr>
                <w:rFonts w:ascii="宋体" w:hAnsi="宋体"/>
                <w:sz w:val="24"/>
              </w:rPr>
            </w:pPr>
            <w:r w:rsidRPr="008D6724">
              <w:rPr>
                <w:rFonts w:ascii="宋体" w:hAnsi="宋体" w:hint="eastAsia"/>
                <w:sz w:val="24"/>
              </w:rPr>
              <w:t>扶手调节距离</w:t>
            </w:r>
            <m:oMath>
              <m:r>
                <m:rPr>
                  <m:sty m:val="p"/>
                </m:rPr>
                <w:rPr>
                  <w:rFonts w:ascii="Cambria Math" w:hAnsi="Cambria Math"/>
                  <w:sz w:val="24"/>
                </w:rPr>
                <m:t>≥</m:t>
              </m:r>
            </m:oMath>
            <w:r w:rsidRPr="008D6724">
              <w:rPr>
                <w:rFonts w:ascii="宋体" w:hAnsi="宋体" w:hint="eastAsia"/>
                <w:sz w:val="24"/>
              </w:rPr>
              <w:t>15cm；</w:t>
            </w:r>
          </w:p>
        </w:tc>
      </w:tr>
      <w:tr w:rsidR="00FD2419">
        <w:trPr>
          <w:jc w:val="center"/>
        </w:trPr>
        <w:tc>
          <w:tcPr>
            <w:tcW w:w="696" w:type="dxa"/>
          </w:tcPr>
          <w:p w:rsidR="00FD2419" w:rsidRDefault="00FD2419">
            <w:pPr>
              <w:spacing w:line="440" w:lineRule="exact"/>
              <w:rPr>
                <w:rFonts w:ascii="仿宋" w:eastAsia="仿宋" w:hAnsi="仿宋" w:cs="仿宋"/>
                <w:color w:val="000000"/>
                <w:sz w:val="24"/>
              </w:rPr>
            </w:pPr>
            <w:r>
              <w:rPr>
                <w:rFonts w:ascii="仿宋" w:eastAsia="仿宋" w:hAnsi="仿宋" w:cs="仿宋" w:hint="eastAsia"/>
                <w:color w:val="000000"/>
                <w:sz w:val="24"/>
              </w:rPr>
              <w:t>6</w:t>
            </w:r>
          </w:p>
        </w:tc>
        <w:tc>
          <w:tcPr>
            <w:tcW w:w="7599" w:type="dxa"/>
          </w:tcPr>
          <w:p w:rsidR="00FD2419" w:rsidRPr="008D6724" w:rsidRDefault="00FD2419" w:rsidP="008A6A20">
            <w:pPr>
              <w:spacing w:line="360" w:lineRule="auto"/>
              <w:rPr>
                <w:rFonts w:ascii="宋体" w:hAnsi="宋体"/>
                <w:sz w:val="24"/>
              </w:rPr>
            </w:pPr>
            <w:r w:rsidRPr="008D6724">
              <w:rPr>
                <w:rFonts w:ascii="宋体" w:hAnsi="宋体" w:hint="eastAsia"/>
                <w:sz w:val="24"/>
              </w:rPr>
              <w:t>第二段长度可调节角度：</w:t>
            </w:r>
            <m:oMath>
              <m:r>
                <m:rPr>
                  <m:sty m:val="p"/>
                </m:rPr>
                <w:rPr>
                  <w:rFonts w:ascii="Cambria Math" w:hAnsi="Cambria Math"/>
                  <w:sz w:val="24"/>
                </w:rPr>
                <m:t>≥</m:t>
              </m:r>
            </m:oMath>
            <w:r w:rsidRPr="008D6724">
              <w:rPr>
                <w:rFonts w:ascii="宋体" w:hAnsi="宋体" w:hint="eastAsia"/>
                <w:sz w:val="24"/>
              </w:rPr>
              <w:t>0到25度；</w:t>
            </w:r>
          </w:p>
        </w:tc>
      </w:tr>
      <w:tr w:rsidR="00FD2419">
        <w:trPr>
          <w:jc w:val="center"/>
        </w:trPr>
        <w:tc>
          <w:tcPr>
            <w:tcW w:w="696" w:type="dxa"/>
          </w:tcPr>
          <w:p w:rsidR="00FD2419" w:rsidRDefault="00FD2419">
            <w:pPr>
              <w:spacing w:line="440" w:lineRule="exact"/>
              <w:rPr>
                <w:rFonts w:ascii="仿宋" w:eastAsia="仿宋" w:hAnsi="仿宋" w:cs="仿宋"/>
                <w:color w:val="000000"/>
                <w:sz w:val="24"/>
              </w:rPr>
            </w:pPr>
            <w:r>
              <w:rPr>
                <w:rFonts w:ascii="仿宋" w:eastAsia="仿宋" w:hAnsi="仿宋" w:cs="仿宋" w:hint="eastAsia"/>
                <w:color w:val="000000"/>
                <w:sz w:val="24"/>
              </w:rPr>
              <w:t>7</w:t>
            </w:r>
          </w:p>
        </w:tc>
        <w:tc>
          <w:tcPr>
            <w:tcW w:w="7599" w:type="dxa"/>
          </w:tcPr>
          <w:p w:rsidR="00FD2419" w:rsidRPr="008D6724" w:rsidRDefault="00FD2419" w:rsidP="006640E7">
            <w:pPr>
              <w:spacing w:line="360" w:lineRule="auto"/>
              <w:rPr>
                <w:rFonts w:ascii="宋体" w:hAnsi="宋体"/>
                <w:sz w:val="24"/>
              </w:rPr>
            </w:pPr>
            <w:r w:rsidRPr="008D6724">
              <w:rPr>
                <w:rFonts w:ascii="宋体" w:hAnsi="宋体" w:hint="eastAsia"/>
                <w:sz w:val="24"/>
              </w:rPr>
              <w:t>第三段长度可调节角度：</w:t>
            </w:r>
            <m:oMath>
              <m:r>
                <m:rPr>
                  <m:sty m:val="p"/>
                </m:rPr>
                <w:rPr>
                  <w:rFonts w:ascii="Cambria Math" w:hAnsi="Cambria Math"/>
                  <w:sz w:val="24"/>
                </w:rPr>
                <m:t>≥</m:t>
              </m:r>
            </m:oMath>
            <w:r w:rsidR="006640E7">
              <w:rPr>
                <w:rFonts w:ascii="宋体" w:hAnsi="宋体" w:hint="eastAsia"/>
                <w:sz w:val="24"/>
              </w:rPr>
              <w:t>-16</w:t>
            </w:r>
            <w:r w:rsidRPr="008D6724">
              <w:rPr>
                <w:rFonts w:ascii="宋体" w:hAnsi="宋体" w:hint="eastAsia"/>
                <w:sz w:val="24"/>
              </w:rPr>
              <w:t>度到</w:t>
            </w:r>
            <w:r w:rsidR="006640E7">
              <w:rPr>
                <w:rFonts w:ascii="宋体" w:hAnsi="宋体" w:hint="eastAsia"/>
                <w:sz w:val="24"/>
              </w:rPr>
              <w:t>4</w:t>
            </w:r>
            <w:r w:rsidRPr="008D6724">
              <w:rPr>
                <w:rFonts w:ascii="宋体" w:hAnsi="宋体" w:hint="eastAsia"/>
                <w:sz w:val="24"/>
              </w:rPr>
              <w:t>0度；</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8</w:t>
            </w:r>
          </w:p>
        </w:tc>
        <w:tc>
          <w:tcPr>
            <w:tcW w:w="7599" w:type="dxa"/>
          </w:tcPr>
          <w:p w:rsidR="009F7CD2" w:rsidRPr="00CE6203" w:rsidRDefault="00CE6203" w:rsidP="00CE6203">
            <w:pPr>
              <w:spacing w:line="440" w:lineRule="atLeast"/>
              <w:rPr>
                <w:rFonts w:ascii="宋体" w:hAnsi="宋体"/>
                <w:sz w:val="24"/>
              </w:rPr>
            </w:pPr>
            <w:r>
              <w:rPr>
                <w:rFonts w:ascii="宋体" w:hAnsi="宋体" w:hint="eastAsia"/>
                <w:sz w:val="24"/>
              </w:rPr>
              <w:t>方便床身移动</w:t>
            </w:r>
          </w:p>
        </w:tc>
      </w:tr>
    </w:tbl>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2126"/>
        <w:gridCol w:w="1985"/>
        <w:gridCol w:w="1983"/>
      </w:tblGrid>
      <w:tr w:rsidR="00B74E07" w:rsidTr="00B74E07">
        <w:trPr>
          <w:trHeight w:val="438"/>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序号</w:t>
            </w:r>
          </w:p>
        </w:tc>
        <w:tc>
          <w:tcPr>
            <w:tcW w:w="1477"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名称</w:t>
            </w:r>
          </w:p>
        </w:tc>
        <w:tc>
          <w:tcPr>
            <w:tcW w:w="1379"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w:t>
            </w:r>
          </w:p>
        </w:tc>
        <w:tc>
          <w:tcPr>
            <w:tcW w:w="1379" w:type="pct"/>
          </w:tcPr>
          <w:p w:rsidR="00B74E07" w:rsidRPr="00B74E07" w:rsidRDefault="00B74E07" w:rsidP="00B74E07">
            <w:pPr>
              <w:spacing w:line="440" w:lineRule="exact"/>
              <w:jc w:val="center"/>
              <w:rPr>
                <w:rFonts w:ascii="仿宋" w:eastAsia="仿宋" w:hAnsi="仿宋" w:cs="仿宋"/>
                <w:color w:val="000000"/>
                <w:sz w:val="24"/>
              </w:rPr>
            </w:pPr>
            <w:r w:rsidRPr="00B74E07">
              <w:rPr>
                <w:rFonts w:ascii="仿宋" w:eastAsia="仿宋" w:hAnsi="仿宋" w:cs="仿宋" w:hint="eastAsia"/>
                <w:color w:val="000000"/>
                <w:sz w:val="24"/>
              </w:rPr>
              <w:t>单位</w:t>
            </w:r>
          </w:p>
        </w:tc>
      </w:tr>
      <w:tr w:rsidR="00B74E07" w:rsidTr="00B74E07">
        <w:trPr>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1477"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电动推杆</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2</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台</w:t>
            </w:r>
          </w:p>
        </w:tc>
      </w:tr>
      <w:tr w:rsidR="00B74E07" w:rsidTr="00B74E07">
        <w:trPr>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1477"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医用承压轮</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4</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只</w:t>
            </w:r>
          </w:p>
        </w:tc>
      </w:tr>
      <w:tr w:rsidR="00B74E07" w:rsidTr="00B74E07">
        <w:trPr>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1477"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控制器</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1</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套</w:t>
            </w:r>
          </w:p>
        </w:tc>
      </w:tr>
      <w:tr w:rsidR="00B74E07" w:rsidTr="00B74E07">
        <w:trPr>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4</w:t>
            </w:r>
          </w:p>
        </w:tc>
        <w:tc>
          <w:tcPr>
            <w:tcW w:w="1477"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扶手</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1</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套</w:t>
            </w:r>
          </w:p>
        </w:tc>
      </w:tr>
      <w:tr w:rsidR="00B74E07" w:rsidTr="00B74E07">
        <w:trPr>
          <w:jc w:val="center"/>
        </w:trPr>
        <w:tc>
          <w:tcPr>
            <w:tcW w:w="766" w:type="pct"/>
          </w:tcPr>
          <w:p w:rsidR="00B74E07" w:rsidRDefault="00B74E07" w:rsidP="00B74E07">
            <w:pPr>
              <w:spacing w:line="440" w:lineRule="exact"/>
              <w:jc w:val="center"/>
              <w:rPr>
                <w:rFonts w:ascii="仿宋" w:eastAsia="仿宋" w:hAnsi="仿宋" w:cs="仿宋"/>
                <w:color w:val="000000"/>
                <w:sz w:val="24"/>
              </w:rPr>
            </w:pPr>
            <w:r>
              <w:rPr>
                <w:rFonts w:ascii="仿宋" w:eastAsia="仿宋" w:hAnsi="仿宋" w:cs="仿宋" w:hint="eastAsia"/>
                <w:color w:val="000000"/>
                <w:sz w:val="24"/>
              </w:rPr>
              <w:t>5</w:t>
            </w:r>
          </w:p>
        </w:tc>
        <w:tc>
          <w:tcPr>
            <w:tcW w:w="1477"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气弹簧</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2</w:t>
            </w:r>
          </w:p>
        </w:tc>
        <w:tc>
          <w:tcPr>
            <w:tcW w:w="1379" w:type="pct"/>
            <w:vAlign w:val="center"/>
          </w:tcPr>
          <w:p w:rsidR="00B74E07" w:rsidRDefault="00B74E07" w:rsidP="0090288E">
            <w:pPr>
              <w:jc w:val="center"/>
              <w:rPr>
                <w:rFonts w:ascii="仿宋" w:eastAsia="仿宋" w:hAnsi="仿宋" w:cs="仿宋"/>
                <w:b/>
                <w:color w:val="000000" w:themeColor="text1"/>
                <w:sz w:val="24"/>
              </w:rPr>
            </w:pPr>
            <w:r>
              <w:rPr>
                <w:rFonts w:hint="eastAsia"/>
                <w:sz w:val="24"/>
              </w:rPr>
              <w:t>支</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w:t>
      </w:r>
      <w:r>
        <w:rPr>
          <w:rFonts w:ascii="仿宋" w:eastAsia="仿宋" w:hAnsi="仿宋" w:cs="仿宋" w:hint="eastAsia"/>
          <w:color w:val="000000"/>
          <w:sz w:val="24"/>
        </w:rPr>
        <w:lastRenderedPageBreak/>
        <w:t>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sidRPr="00B74E07">
        <w:rPr>
          <w:rFonts w:ascii="仿宋" w:eastAsia="仿宋" w:hAnsi="仿宋" w:cs="仿宋" w:hint="eastAsia"/>
          <w:color w:val="FF0000"/>
          <w:sz w:val="24"/>
        </w:rPr>
        <w:t xml:space="preserve">★2.2中标供应商须提供设备原厂质保（设备原厂质量保修范围和保修期）至少为  </w:t>
      </w:r>
      <w:r w:rsidR="00B74E07" w:rsidRPr="00B74E07">
        <w:rPr>
          <w:rFonts w:ascii="仿宋" w:eastAsia="仿宋" w:hAnsi="仿宋" w:cs="仿宋" w:hint="eastAsia"/>
          <w:color w:val="FF0000"/>
          <w:sz w:val="24"/>
        </w:rPr>
        <w:t>2</w:t>
      </w:r>
      <w:r w:rsidRPr="00B74E07">
        <w:rPr>
          <w:rFonts w:ascii="仿宋" w:eastAsia="仿宋" w:hAnsi="仿宋" w:cs="仿宋" w:hint="eastAsia"/>
          <w:color w:val="FF0000"/>
          <w:sz w:val="24"/>
        </w:rPr>
        <w:t xml:space="preserve">  年</w:t>
      </w:r>
      <w:r>
        <w:rPr>
          <w:rFonts w:ascii="仿宋" w:eastAsia="仿宋" w:hAnsi="仿宋" w:cs="仿宋" w:hint="eastAsia"/>
          <w:color w:val="000000"/>
          <w:sz w:val="24"/>
        </w:rPr>
        <w:t>。</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D60" w:rsidRDefault="00C37D60" w:rsidP="00055341">
      <w:r>
        <w:separator/>
      </w:r>
    </w:p>
  </w:endnote>
  <w:endnote w:type="continuationSeparator" w:id="0">
    <w:p w:rsidR="00C37D60" w:rsidRDefault="00C37D60"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ystem-ui">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D60" w:rsidRDefault="00C37D60" w:rsidP="00055341">
      <w:r>
        <w:separator/>
      </w:r>
    </w:p>
  </w:footnote>
  <w:footnote w:type="continuationSeparator" w:id="0">
    <w:p w:rsidR="00C37D60" w:rsidRDefault="00C37D60"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21765C"/>
    <w:rsid w:val="00293342"/>
    <w:rsid w:val="002B351A"/>
    <w:rsid w:val="002D465D"/>
    <w:rsid w:val="00347624"/>
    <w:rsid w:val="0035345C"/>
    <w:rsid w:val="00355302"/>
    <w:rsid w:val="003A3903"/>
    <w:rsid w:val="003F4B3D"/>
    <w:rsid w:val="00506C5F"/>
    <w:rsid w:val="00527C0D"/>
    <w:rsid w:val="00544162"/>
    <w:rsid w:val="005459E1"/>
    <w:rsid w:val="00581B14"/>
    <w:rsid w:val="0063702E"/>
    <w:rsid w:val="006640E7"/>
    <w:rsid w:val="00697BB0"/>
    <w:rsid w:val="006F5039"/>
    <w:rsid w:val="00714732"/>
    <w:rsid w:val="00796D35"/>
    <w:rsid w:val="00857394"/>
    <w:rsid w:val="00857CF3"/>
    <w:rsid w:val="00860BDF"/>
    <w:rsid w:val="008A6A20"/>
    <w:rsid w:val="0091253C"/>
    <w:rsid w:val="00914200"/>
    <w:rsid w:val="00924934"/>
    <w:rsid w:val="009347C6"/>
    <w:rsid w:val="00987B50"/>
    <w:rsid w:val="009B3606"/>
    <w:rsid w:val="009B384E"/>
    <w:rsid w:val="009B5655"/>
    <w:rsid w:val="009E2D17"/>
    <w:rsid w:val="009F7CD2"/>
    <w:rsid w:val="00A073B6"/>
    <w:rsid w:val="00A25AA4"/>
    <w:rsid w:val="00A456B6"/>
    <w:rsid w:val="00A84A11"/>
    <w:rsid w:val="00A86E11"/>
    <w:rsid w:val="00A93E5F"/>
    <w:rsid w:val="00B063B7"/>
    <w:rsid w:val="00B74E07"/>
    <w:rsid w:val="00BA73BA"/>
    <w:rsid w:val="00BC7D51"/>
    <w:rsid w:val="00C37D60"/>
    <w:rsid w:val="00C404BE"/>
    <w:rsid w:val="00C64DF1"/>
    <w:rsid w:val="00CE6203"/>
    <w:rsid w:val="00D03E7C"/>
    <w:rsid w:val="00D205C7"/>
    <w:rsid w:val="00DD5B47"/>
    <w:rsid w:val="00DF2464"/>
    <w:rsid w:val="00ED1DC3"/>
    <w:rsid w:val="00F34F09"/>
    <w:rsid w:val="00F56E6B"/>
    <w:rsid w:val="00F77392"/>
    <w:rsid w:val="00FD2419"/>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 w:type="character" w:styleId="a9">
    <w:name w:val="Placeholder Text"/>
    <w:basedOn w:val="a0"/>
    <w:uiPriority w:val="99"/>
    <w:unhideWhenUsed/>
    <w:rsid w:val="00B74E07"/>
    <w:rPr>
      <w:color w:val="808080"/>
    </w:rPr>
  </w:style>
  <w:style w:type="paragraph" w:styleId="aa">
    <w:name w:val="Balloon Text"/>
    <w:basedOn w:val="a"/>
    <w:link w:val="Char0"/>
    <w:rsid w:val="00B74E07"/>
    <w:rPr>
      <w:sz w:val="18"/>
      <w:szCs w:val="18"/>
    </w:rPr>
  </w:style>
  <w:style w:type="character" w:customStyle="1" w:styleId="Char0">
    <w:name w:val="批注框文本 Char"/>
    <w:basedOn w:val="a0"/>
    <w:link w:val="aa"/>
    <w:rsid w:val="00B74E07"/>
    <w:rPr>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EEA47-947A-46AD-B1EB-EF543BBF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8</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2420</dc:creator>
  <cp:lastModifiedBy>Windows 用户</cp:lastModifiedBy>
  <cp:revision>6</cp:revision>
  <dcterms:created xsi:type="dcterms:W3CDTF">2024-11-15T06:39:00Z</dcterms:created>
  <dcterms:modified xsi:type="dcterms:W3CDTF">2025-02-14T09:30:00Z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