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3"/>
        <w:ind w:left="0" w:leftChars="0" w:firstLine="0" w:firstLineChars="0"/>
        <w:rPr>
          <w:rFonts w:hint="eastAsia"/>
          <w:b/>
          <w:bCs/>
          <w:color w:val="0000FF"/>
          <w:sz w:val="24"/>
        </w:rPr>
      </w:pPr>
    </w:p>
    <w:p>
      <w:pPr>
        <w:pStyle w:val="3"/>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2575"/>
        <w:gridCol w:w="1845"/>
        <w:gridCol w:w="1186"/>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67" w:type="dxa"/>
          </w:tcPr>
          <w:p>
            <w:pPr>
              <w:spacing w:line="440" w:lineRule="exact"/>
              <w:jc w:val="center"/>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品目号</w:t>
            </w:r>
          </w:p>
        </w:tc>
        <w:tc>
          <w:tcPr>
            <w:tcW w:w="2575" w:type="dxa"/>
            <w:vAlign w:val="top"/>
          </w:tcPr>
          <w:p>
            <w:pPr>
              <w:spacing w:line="440" w:lineRule="exact"/>
              <w:jc w:val="center"/>
              <w:rPr>
                <w:rFonts w:ascii="仿宋" w:hAnsi="仿宋" w:eastAsia="仿宋" w:cs="仿宋"/>
                <w:b/>
                <w:bCs/>
                <w:color w:val="auto"/>
                <w:sz w:val="24"/>
              </w:rPr>
            </w:pPr>
            <w:r>
              <w:rPr>
                <w:rFonts w:hint="eastAsia" w:ascii="仿宋" w:hAnsi="仿宋" w:eastAsia="仿宋" w:cs="仿宋"/>
                <w:b/>
                <w:bCs/>
                <w:color w:val="auto"/>
                <w:sz w:val="24"/>
              </w:rPr>
              <w:t>项目名称</w:t>
            </w:r>
          </w:p>
        </w:tc>
        <w:tc>
          <w:tcPr>
            <w:tcW w:w="1845" w:type="dxa"/>
            <w:vAlign w:val="top"/>
          </w:tcPr>
          <w:p>
            <w:pPr>
              <w:spacing w:line="440" w:lineRule="exact"/>
              <w:jc w:val="center"/>
              <w:rPr>
                <w:rFonts w:ascii="仿宋" w:hAnsi="仿宋" w:eastAsia="仿宋" w:cs="仿宋"/>
                <w:b/>
                <w:bCs/>
                <w:color w:val="auto"/>
                <w:sz w:val="24"/>
              </w:rPr>
            </w:pPr>
            <w:r>
              <w:rPr>
                <w:rFonts w:hint="eastAsia" w:ascii="仿宋" w:hAnsi="仿宋" w:eastAsia="仿宋" w:cs="仿宋"/>
                <w:b/>
                <w:bCs/>
                <w:color w:val="auto"/>
                <w:sz w:val="24"/>
              </w:rPr>
              <w:t>需求科室/部门</w:t>
            </w:r>
          </w:p>
        </w:tc>
        <w:tc>
          <w:tcPr>
            <w:tcW w:w="1186" w:type="dxa"/>
            <w:vAlign w:val="top"/>
          </w:tcPr>
          <w:p>
            <w:pPr>
              <w:spacing w:line="440" w:lineRule="exact"/>
              <w:jc w:val="center"/>
              <w:rPr>
                <w:rFonts w:hint="default" w:ascii="仿宋" w:hAnsi="仿宋" w:eastAsia="仿宋" w:cs="仿宋"/>
                <w:b/>
                <w:bCs/>
                <w:color w:val="auto"/>
                <w:sz w:val="24"/>
                <w:lang w:val="en-US" w:eastAsia="zh-CN"/>
              </w:rPr>
            </w:pPr>
            <w:r>
              <w:rPr>
                <w:rFonts w:hint="eastAsia" w:ascii="仿宋" w:hAnsi="仿宋" w:eastAsia="仿宋" w:cs="仿宋"/>
                <w:b/>
                <w:bCs/>
                <w:color w:val="auto"/>
                <w:sz w:val="24"/>
              </w:rPr>
              <w:t>数量（</w:t>
            </w:r>
            <w:r>
              <w:rPr>
                <w:rFonts w:hint="eastAsia" w:ascii="仿宋" w:hAnsi="仿宋" w:eastAsia="仿宋" w:cs="仿宋"/>
                <w:b/>
                <w:bCs/>
                <w:color w:val="auto"/>
                <w:sz w:val="24"/>
                <w:lang w:val="en-US" w:eastAsia="zh-CN"/>
              </w:rPr>
              <w:t>台</w:t>
            </w:r>
            <w:r>
              <w:rPr>
                <w:rFonts w:hint="eastAsia" w:ascii="仿宋" w:hAnsi="仿宋" w:eastAsia="仿宋" w:cs="仿宋"/>
                <w:b/>
                <w:bCs/>
                <w:color w:val="auto"/>
                <w:sz w:val="24"/>
              </w:rPr>
              <w:t>）</w:t>
            </w:r>
          </w:p>
        </w:tc>
        <w:tc>
          <w:tcPr>
            <w:tcW w:w="1945" w:type="dxa"/>
            <w:vAlign w:val="top"/>
          </w:tcPr>
          <w:p>
            <w:pPr>
              <w:spacing w:line="440" w:lineRule="exact"/>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技术规格、参数要求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67" w:type="dxa"/>
          </w:tcPr>
          <w:p>
            <w:pPr>
              <w:spacing w:line="440" w:lineRule="exact"/>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1-1</w:t>
            </w:r>
          </w:p>
        </w:tc>
        <w:tc>
          <w:tcPr>
            <w:tcW w:w="2575" w:type="dxa"/>
            <w:vAlign w:val="top"/>
          </w:tcPr>
          <w:p>
            <w:pPr>
              <w:spacing w:line="440" w:lineRule="exact"/>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便携式短波治疗仪</w:t>
            </w:r>
          </w:p>
        </w:tc>
        <w:tc>
          <w:tcPr>
            <w:tcW w:w="1845" w:type="dxa"/>
            <w:vAlign w:val="top"/>
          </w:tcPr>
          <w:p>
            <w:pPr>
              <w:spacing w:line="440" w:lineRule="exact"/>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康复科</w:t>
            </w:r>
          </w:p>
        </w:tc>
        <w:tc>
          <w:tcPr>
            <w:tcW w:w="1186" w:type="dxa"/>
            <w:vAlign w:val="top"/>
          </w:tcPr>
          <w:p>
            <w:pPr>
              <w:spacing w:line="440" w:lineRule="exact"/>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1</w:t>
            </w:r>
          </w:p>
        </w:tc>
        <w:tc>
          <w:tcPr>
            <w:tcW w:w="1945" w:type="dxa"/>
            <w:vAlign w:val="top"/>
          </w:tcPr>
          <w:p>
            <w:pPr>
              <w:spacing w:line="440" w:lineRule="exact"/>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详见文件要求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67" w:type="dxa"/>
          </w:tcPr>
          <w:p>
            <w:pPr>
              <w:spacing w:line="440" w:lineRule="exact"/>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1-2</w:t>
            </w:r>
          </w:p>
        </w:tc>
        <w:tc>
          <w:tcPr>
            <w:tcW w:w="2575" w:type="dxa"/>
            <w:vAlign w:val="top"/>
          </w:tcPr>
          <w:p>
            <w:pPr>
              <w:spacing w:line="440" w:lineRule="exact"/>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超短波治疗仪</w:t>
            </w:r>
          </w:p>
        </w:tc>
        <w:tc>
          <w:tcPr>
            <w:tcW w:w="1845" w:type="dxa"/>
            <w:vAlign w:val="top"/>
          </w:tcPr>
          <w:p>
            <w:pPr>
              <w:spacing w:line="440" w:lineRule="exact"/>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康复科</w:t>
            </w:r>
          </w:p>
        </w:tc>
        <w:tc>
          <w:tcPr>
            <w:tcW w:w="1186" w:type="dxa"/>
            <w:vAlign w:val="top"/>
          </w:tcPr>
          <w:p>
            <w:pPr>
              <w:spacing w:line="440" w:lineRule="exact"/>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2</w:t>
            </w:r>
          </w:p>
        </w:tc>
        <w:tc>
          <w:tcPr>
            <w:tcW w:w="1945" w:type="dxa"/>
            <w:vAlign w:val="top"/>
          </w:tcPr>
          <w:p>
            <w:pPr>
              <w:spacing w:line="440" w:lineRule="exact"/>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详见文件要求</w:t>
            </w:r>
          </w:p>
        </w:tc>
      </w:tr>
    </w:tbl>
    <w:p>
      <w:pPr>
        <w:spacing w:line="440" w:lineRule="exact"/>
        <w:rPr>
          <w:rFonts w:hint="eastAsia" w:ascii="仿宋" w:hAnsi="仿宋" w:eastAsia="仿宋" w:cs="仿宋"/>
          <w:b/>
          <w:bCs/>
          <w:color w:val="auto"/>
          <w:sz w:val="24"/>
        </w:rPr>
      </w:pP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b/>
          <w:bCs/>
          <w:color w:val="auto"/>
          <w:sz w:val="24"/>
        </w:rPr>
        <w:t>用途</w:t>
      </w:r>
      <w:r>
        <w:rPr>
          <w:rFonts w:hint="eastAsia" w:ascii="仿宋" w:hAnsi="仿宋" w:eastAsia="仿宋" w:cs="仿宋"/>
          <w:color w:val="auto"/>
          <w:sz w:val="24"/>
        </w:rPr>
        <w:t>：</w:t>
      </w:r>
      <w:r>
        <w:rPr>
          <w:rFonts w:hint="eastAsia" w:ascii="仿宋" w:hAnsi="仿宋" w:eastAsia="仿宋" w:cs="仿宋"/>
          <w:color w:val="auto"/>
          <w:sz w:val="24"/>
          <w:lang w:val="en-US" w:eastAsia="zh-CN"/>
        </w:rPr>
        <w:t>短</w:t>
      </w:r>
      <w:r>
        <w:rPr>
          <w:rFonts w:hint="eastAsia" w:ascii="仿宋" w:hAnsi="仿宋" w:eastAsia="仿宋" w:cs="仿宋"/>
          <w:color w:val="000000" w:themeColor="text1"/>
          <w:sz w:val="24"/>
          <w:lang w:val="en-US" w:eastAsia="zh-CN"/>
        </w:rPr>
        <w:t>波、超短波作为一种物理治疗方法，通过将高频电磁波能量传递到人体组织中产生热效应，从而起到疗效的作用。以下是短波、超短波的主要作用与功效：改善局部血液循环：短波能够加速血液的流动，增加毛细血管的开放数量，从而改善局部的血液循环。</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镇痛：通过降低感觉神经的兴奋性，达到缓解疼痛的效果。</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消除炎症：短波可以促进局部的血液循环，加速炎症的吸收和消散。</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加速组织再生：它能够促进细胞代谢，加速受损组织的修复和再生过程。</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缓解痉挛：短波的热效应能够缓解肌肉和血管的痉挛，改善局部的血液循环。</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调节神经功能：它可以调节神经的兴奋性和传导速度，对神经痛和神经功能紊乱。</w:t>
      </w:r>
    </w:p>
    <w:p>
      <w:pPr>
        <w:spacing w:line="440" w:lineRule="exact"/>
        <w:rPr>
          <w:rFonts w:hint="eastAsia" w:ascii="仿宋" w:hAnsi="仿宋" w:eastAsia="仿宋" w:cs="仿宋"/>
          <w:color w:val="000000" w:themeColor="text1"/>
          <w:sz w:val="24"/>
          <w:lang w:val="en-US" w:eastAsia="zh-CN"/>
        </w:rPr>
      </w:pPr>
    </w:p>
    <w:p>
      <w:pPr>
        <w:numPr>
          <w:ilvl w:val="0"/>
          <w:numId w:val="4"/>
        </w:numPr>
        <w:spacing w:line="440" w:lineRule="exact"/>
        <w:rPr>
          <w:rFonts w:ascii="仿宋" w:hAnsi="仿宋" w:eastAsia="仿宋" w:cs="仿宋"/>
          <w:b/>
          <w:color w:val="FF0000"/>
          <w:sz w:val="24"/>
        </w:rPr>
      </w:pPr>
      <w:r>
        <w:rPr>
          <w:rFonts w:hint="eastAsia" w:ascii="仿宋" w:hAnsi="仿宋" w:eastAsia="仿宋" w:cs="仿宋"/>
          <w:b/>
          <w:color w:val="FF0000"/>
          <w:sz w:val="24"/>
        </w:rPr>
        <w:t>技术参数：</w:t>
      </w:r>
    </w:p>
    <w:p>
      <w:pPr>
        <w:numPr>
          <w:ilvl w:val="0"/>
          <w:numId w:val="0"/>
        </w:numPr>
        <w:spacing w:line="440" w:lineRule="exact"/>
        <w:rPr>
          <w:rFonts w:hint="eastAsia" w:ascii="仿宋" w:hAnsi="仿宋" w:eastAsia="仿宋" w:cs="仿宋"/>
          <w:b/>
          <w:bCs w:val="0"/>
          <w:color w:val="FF0000"/>
          <w:sz w:val="28"/>
          <w:szCs w:val="28"/>
          <w:lang w:val="en-US" w:eastAsia="zh-CN"/>
        </w:rPr>
      </w:pPr>
      <w:r>
        <w:rPr>
          <w:rFonts w:hint="eastAsia" w:ascii="仿宋" w:hAnsi="仿宋" w:eastAsia="仿宋" w:cs="仿宋"/>
          <w:b/>
          <w:bCs w:val="0"/>
          <w:color w:val="FF0000"/>
          <w:sz w:val="28"/>
          <w:szCs w:val="28"/>
          <w:lang w:val="en-US" w:eastAsia="zh-CN"/>
        </w:rPr>
        <w:t>采购包1-1（便携式短波治疗仪）</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1、采用先进微电脑控制和晶体管技术，彩色触摸屏配合快捷键设计，简单易用。</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▲2、内置不同部位的临床治疗处方，具有连续，脉冲两种模式，输出精准。脉冲模式可调制频率和脉宽，可储存用户的自定义方案。</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3、自动调谐：与人体匹配度高，热感快，温热效果好，自动调谐，达到最优输出。自动补正室温：根据季节室温变化，自动识别外界温度，调节输出功率，保持温热感恒定。</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4、采用高级屏蔽技术，整机采用全金属屏蔽材料</w:t>
      </w:r>
      <w:bookmarkStart w:id="0" w:name="_GoBack"/>
      <w:bookmarkEnd w:id="0"/>
      <w:r>
        <w:rPr>
          <w:rFonts w:hint="eastAsia" w:ascii="仿宋" w:hAnsi="仿宋" w:eastAsia="仿宋" w:cs="仿宋"/>
          <w:color w:val="000000" w:themeColor="text1"/>
          <w:sz w:val="24"/>
          <w:lang w:val="en-US" w:eastAsia="zh-CN"/>
        </w:rPr>
        <w:t>，无辐射干扰及危害。</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▲5、振动频率：27.12MHz ± 0.6%，输出功率：0-50W可调，5W/档。具有连续，脉冲两种模式，输出精准。脉冲模式可调制频率和脉宽，调制频率：10-800hz可调，步长10hz，调剂脉宽：20-400us可调，步长20us（需提供技术文件）</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6、时间设定：1-30min，步长1min</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7、输出波形：正弦波</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▲8、四种治疗剂量：无热，微热，温热，热量</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▲9、彩色电阻屏显示解剖学和病理，可显示36个专家处方电极放置方式，记录99个自定义处方等。常用肺炎、急性扭损伤参考数据处方</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▲10、采用便携式设计，体积与同类产品相比要轻巧得多，可在任何场合轻松使用。主机规格：285 x 197 x 280mm便携式设计，主机重量：约7kg。</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428"/>
        <w:gridCol w:w="3196"/>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序号</w:t>
            </w:r>
          </w:p>
        </w:tc>
        <w:tc>
          <w:tcPr>
            <w:tcW w:w="2428"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名称</w:t>
            </w:r>
          </w:p>
        </w:tc>
        <w:tc>
          <w:tcPr>
            <w:tcW w:w="3196"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要求</w:t>
            </w:r>
          </w:p>
        </w:tc>
        <w:tc>
          <w:tcPr>
            <w:tcW w:w="96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数量</w:t>
            </w:r>
          </w:p>
        </w:tc>
        <w:tc>
          <w:tcPr>
            <w:tcW w:w="920"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2428"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主机</w:t>
            </w:r>
          </w:p>
        </w:tc>
        <w:tc>
          <w:tcPr>
            <w:tcW w:w="3196" w:type="dxa"/>
          </w:tcPr>
          <w:p>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w:t>
            </w:r>
          </w:p>
        </w:tc>
        <w:tc>
          <w:tcPr>
            <w:tcW w:w="96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2428"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输出线</w:t>
            </w:r>
          </w:p>
        </w:tc>
        <w:tc>
          <w:tcPr>
            <w:tcW w:w="3196" w:type="dxa"/>
          </w:tcPr>
          <w:p>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w:t>
            </w:r>
          </w:p>
        </w:tc>
        <w:tc>
          <w:tcPr>
            <w:tcW w:w="96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2428"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标准电极</w:t>
            </w:r>
          </w:p>
        </w:tc>
        <w:tc>
          <w:tcPr>
            <w:tcW w:w="3196" w:type="dxa"/>
          </w:tcPr>
          <w:p>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w:t>
            </w:r>
          </w:p>
        </w:tc>
        <w:tc>
          <w:tcPr>
            <w:tcW w:w="96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w:t>
            </w:r>
          </w:p>
        </w:tc>
        <w:tc>
          <w:tcPr>
            <w:tcW w:w="2428"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大号电极</w:t>
            </w:r>
          </w:p>
        </w:tc>
        <w:tc>
          <w:tcPr>
            <w:tcW w:w="3196" w:type="dxa"/>
          </w:tcPr>
          <w:p>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w:t>
            </w:r>
          </w:p>
        </w:tc>
        <w:tc>
          <w:tcPr>
            <w:tcW w:w="96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w:t>
            </w:r>
          </w:p>
        </w:tc>
        <w:tc>
          <w:tcPr>
            <w:tcW w:w="2428"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轮式台车</w:t>
            </w:r>
          </w:p>
        </w:tc>
        <w:tc>
          <w:tcPr>
            <w:tcW w:w="3196" w:type="dxa"/>
          </w:tcPr>
          <w:p>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w:t>
            </w:r>
          </w:p>
        </w:tc>
        <w:tc>
          <w:tcPr>
            <w:tcW w:w="96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2428"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电源线</w:t>
            </w:r>
          </w:p>
        </w:tc>
        <w:tc>
          <w:tcPr>
            <w:tcW w:w="3196" w:type="dxa"/>
          </w:tcPr>
          <w:p>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w:t>
            </w:r>
          </w:p>
        </w:tc>
        <w:tc>
          <w:tcPr>
            <w:tcW w:w="96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c>
          <w:tcPr>
            <w:tcW w:w="2428"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说明书</w:t>
            </w:r>
          </w:p>
        </w:tc>
        <w:tc>
          <w:tcPr>
            <w:tcW w:w="3196" w:type="dxa"/>
          </w:tcPr>
          <w:p>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w:t>
            </w:r>
          </w:p>
        </w:tc>
        <w:tc>
          <w:tcPr>
            <w:tcW w:w="96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本</w:t>
            </w:r>
          </w:p>
        </w:tc>
      </w:tr>
    </w:tbl>
    <w:p>
      <w:pPr>
        <w:numPr>
          <w:numId w:val="0"/>
        </w:numPr>
        <w:spacing w:line="440" w:lineRule="exact"/>
        <w:rPr>
          <w:rFonts w:hint="eastAsia" w:ascii="仿宋" w:hAnsi="仿宋" w:eastAsia="仿宋" w:cs="仿宋"/>
          <w:color w:val="000000" w:themeColor="text1"/>
          <w:sz w:val="24"/>
          <w:lang w:val="en-US" w:eastAsia="zh-CN"/>
        </w:rPr>
      </w:pPr>
    </w:p>
    <w:p>
      <w:pPr>
        <w:numPr>
          <w:numId w:val="0"/>
        </w:numPr>
        <w:spacing w:line="440" w:lineRule="exact"/>
        <w:rPr>
          <w:rFonts w:hint="eastAsia" w:ascii="仿宋" w:hAnsi="仿宋" w:eastAsia="仿宋" w:cs="仿宋"/>
          <w:b/>
          <w:color w:val="FF0000"/>
          <w:sz w:val="24"/>
          <w:lang w:val="en-US" w:eastAsia="zh-CN"/>
        </w:rPr>
      </w:pPr>
    </w:p>
    <w:p>
      <w:pPr>
        <w:numPr>
          <w:numId w:val="0"/>
        </w:numPr>
        <w:spacing w:line="440" w:lineRule="exact"/>
        <w:rPr>
          <w:rFonts w:hint="eastAsia" w:ascii="仿宋" w:hAnsi="仿宋" w:eastAsia="仿宋" w:cs="仿宋"/>
          <w:b/>
          <w:color w:val="FF0000"/>
          <w:sz w:val="24"/>
          <w:lang w:val="en-US" w:eastAsia="zh-CN"/>
        </w:rPr>
      </w:pPr>
    </w:p>
    <w:p>
      <w:pPr>
        <w:numPr>
          <w:numId w:val="0"/>
        </w:numPr>
        <w:spacing w:line="440" w:lineRule="exact"/>
        <w:rPr>
          <w:rFonts w:hint="default" w:ascii="仿宋" w:hAnsi="仿宋" w:eastAsia="仿宋" w:cs="仿宋"/>
          <w:b/>
          <w:bCs w:val="0"/>
          <w:color w:val="FF0000"/>
          <w:sz w:val="28"/>
          <w:szCs w:val="28"/>
          <w:lang w:val="en-US" w:eastAsia="zh-CN"/>
        </w:rPr>
      </w:pPr>
      <w:r>
        <w:rPr>
          <w:rFonts w:hint="eastAsia" w:ascii="仿宋" w:hAnsi="仿宋" w:eastAsia="仿宋" w:cs="仿宋"/>
          <w:b/>
          <w:bCs w:val="0"/>
          <w:color w:val="FF0000"/>
          <w:sz w:val="28"/>
          <w:szCs w:val="28"/>
          <w:lang w:val="en-US" w:eastAsia="zh-CN"/>
        </w:rPr>
        <w:t>采购包1-2（超短波治疗仪）</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1.输出功率：200W，允许偏差±20%。</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2.工作频率：27.12MHz，允许偏差±0.6%。</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3.治疗时间：分10、15、20、25、30min五档，允许偏差±10%。</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4.脉冲调制频率分： 疏70Hz、密350Hz二档，允许偏差±15%。</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5.使用电源：～220V，50Hz。额定输入功率：900VA。</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6.工作制：连续工作4h。</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7.使用环境：环境温度5℃～40℃，相对湿度≤80%。</w:t>
      </w:r>
    </w:p>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8.外形尺寸：510mm×440mm×930mm，重量：50kg。</w:t>
      </w:r>
    </w:p>
    <w:p>
      <w:pPr>
        <w:spacing w:line="440" w:lineRule="exact"/>
        <w:rPr>
          <w:rFonts w:hint="eastAsia" w:ascii="仿宋" w:hAnsi="仿宋" w:eastAsia="仿宋" w:cs="仿宋"/>
          <w:color w:val="000000" w:themeColor="text1"/>
          <w:sz w:val="24"/>
          <w:lang w:val="en-US" w:eastAsia="zh-CN"/>
        </w:rPr>
      </w:pPr>
    </w:p>
    <w:p>
      <w:pPr>
        <w:spacing w:line="440" w:lineRule="exact"/>
        <w:rPr>
          <w:rFonts w:hint="eastAsia" w:ascii="仿宋" w:hAnsi="仿宋" w:eastAsia="仿宋" w:cs="仿宋"/>
          <w:b/>
          <w:bCs/>
          <w:color w:val="000000" w:themeColor="text1"/>
          <w:sz w:val="24"/>
          <w:lang w:val="en-US" w:eastAsia="zh-CN"/>
        </w:rPr>
      </w:pPr>
      <w:r>
        <w:rPr>
          <w:rFonts w:hint="eastAsia" w:ascii="仿宋" w:hAnsi="仿宋" w:eastAsia="仿宋" w:cs="仿宋"/>
          <w:b/>
          <w:bCs/>
          <w:color w:val="000000" w:themeColor="text1"/>
          <w:sz w:val="24"/>
          <w:lang w:val="en-US" w:eastAsia="zh-CN"/>
        </w:rPr>
        <w:t>每套设备配置要求：</w:t>
      </w:r>
    </w:p>
    <w:p>
      <w:pPr>
        <w:spacing w:line="440" w:lineRule="exact"/>
        <w:rPr>
          <w:rFonts w:hint="eastAsia" w:ascii="仿宋" w:hAnsi="仿宋" w:eastAsia="仿宋" w:cs="仿宋"/>
          <w:color w:val="000000" w:themeColor="text1"/>
          <w:sz w:val="24"/>
          <w:lang w:val="en-US" w:eastAsia="zh-CN"/>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930"/>
        <w:gridCol w:w="3890"/>
        <w:gridCol w:w="876"/>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序号</w:t>
            </w:r>
          </w:p>
        </w:tc>
        <w:tc>
          <w:tcPr>
            <w:tcW w:w="1930"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名称</w:t>
            </w:r>
          </w:p>
        </w:tc>
        <w:tc>
          <w:tcPr>
            <w:tcW w:w="3890"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要求</w:t>
            </w:r>
          </w:p>
        </w:tc>
        <w:tc>
          <w:tcPr>
            <w:tcW w:w="876"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数量</w:t>
            </w:r>
          </w:p>
        </w:tc>
        <w:tc>
          <w:tcPr>
            <w:tcW w:w="817"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930"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保险丝管</w:t>
            </w:r>
          </w:p>
        </w:tc>
        <w:tc>
          <w:tcPr>
            <w:tcW w:w="3890"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T4A 4只；T1A4只；F400mA4只</w:t>
            </w:r>
          </w:p>
        </w:tc>
        <w:tc>
          <w:tcPr>
            <w:tcW w:w="876" w:type="dxa"/>
          </w:tcPr>
          <w:p>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12</w:t>
            </w:r>
          </w:p>
        </w:tc>
        <w:tc>
          <w:tcPr>
            <w:tcW w:w="817"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1930"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硅橡胶电极板</w:t>
            </w:r>
          </w:p>
        </w:tc>
        <w:tc>
          <w:tcPr>
            <w:tcW w:w="3890"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大号（24×17）、中号（21×15）、小号（18×12）</w:t>
            </w:r>
          </w:p>
        </w:tc>
        <w:tc>
          <w:tcPr>
            <w:tcW w:w="876"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817"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1930"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测试用日光灯管</w:t>
            </w:r>
          </w:p>
        </w:tc>
        <w:tc>
          <w:tcPr>
            <w:tcW w:w="3890" w:type="dxa"/>
          </w:tcPr>
          <w:p>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w:t>
            </w:r>
          </w:p>
        </w:tc>
        <w:tc>
          <w:tcPr>
            <w:tcW w:w="876"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817"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w:t>
            </w:r>
          </w:p>
        </w:tc>
        <w:tc>
          <w:tcPr>
            <w:tcW w:w="1930"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硅胶输出线</w:t>
            </w:r>
          </w:p>
        </w:tc>
        <w:tc>
          <w:tcPr>
            <w:tcW w:w="3890" w:type="dxa"/>
          </w:tcPr>
          <w:p>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w:t>
            </w:r>
          </w:p>
        </w:tc>
        <w:tc>
          <w:tcPr>
            <w:tcW w:w="876"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817"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w:t>
            </w:r>
          </w:p>
        </w:tc>
        <w:tc>
          <w:tcPr>
            <w:tcW w:w="1930"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电源线</w:t>
            </w:r>
          </w:p>
        </w:tc>
        <w:tc>
          <w:tcPr>
            <w:tcW w:w="3890" w:type="dxa"/>
          </w:tcPr>
          <w:p>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w:t>
            </w:r>
          </w:p>
        </w:tc>
        <w:tc>
          <w:tcPr>
            <w:tcW w:w="876"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817"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1930"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电极布套</w:t>
            </w:r>
          </w:p>
        </w:tc>
        <w:tc>
          <w:tcPr>
            <w:tcW w:w="3890" w:type="dxa"/>
          </w:tcPr>
          <w:p>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w:t>
            </w:r>
          </w:p>
        </w:tc>
        <w:tc>
          <w:tcPr>
            <w:tcW w:w="876"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817"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套</w:t>
            </w:r>
          </w:p>
        </w:tc>
      </w:tr>
    </w:tbl>
    <w:p>
      <w:pPr>
        <w:spacing w:line="440" w:lineRule="exact"/>
        <w:rPr>
          <w:rFonts w:hint="eastAsia" w:ascii="仿宋" w:hAnsi="仿宋" w:eastAsia="仿宋" w:cs="仿宋"/>
          <w:color w:val="000000" w:themeColor="text1"/>
          <w:sz w:val="24"/>
          <w:lang w:val="en-US" w:eastAsia="zh-CN"/>
        </w:rPr>
      </w:pPr>
    </w:p>
    <w:p>
      <w:pPr>
        <w:spacing w:line="440" w:lineRule="exact"/>
        <w:rPr>
          <w:rFonts w:hint="default" w:ascii="仿宋" w:hAnsi="仿宋" w:eastAsia="仿宋" w:cs="仿宋"/>
          <w:color w:val="000000" w:themeColor="text1"/>
          <w:sz w:val="24"/>
          <w:lang w:val="en-US" w:eastAsia="zh-CN"/>
        </w:rPr>
      </w:pPr>
    </w:p>
    <w:p>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且原装进口产品生产日期与交货日期差值≤6个月；国产产品生产日期与交货日期差值≤3个月。</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color w:val="FF0000"/>
          <w:sz w:val="24"/>
        </w:rPr>
        <w:t>为</w:t>
      </w:r>
      <w:r>
        <w:rPr>
          <w:rFonts w:hint="eastAsia" w:ascii="仿宋" w:hAnsi="仿宋" w:eastAsia="仿宋" w:cs="仿宋"/>
          <w:color w:val="FF0000"/>
          <w:sz w:val="24"/>
          <w:u w:val="single"/>
        </w:rPr>
        <w:t xml:space="preserve"> </w:t>
      </w:r>
      <w:r>
        <w:rPr>
          <w:rFonts w:hint="eastAsia" w:ascii="仿宋" w:hAnsi="仿宋" w:eastAsia="仿宋" w:cs="仿宋"/>
          <w:color w:val="FF0000"/>
          <w:sz w:val="24"/>
          <w:u w:val="single"/>
          <w:lang w:val="en-US" w:eastAsia="zh-CN"/>
        </w:rPr>
        <w:t>2</w:t>
      </w:r>
      <w:r>
        <w:rPr>
          <w:rFonts w:hint="eastAsia" w:ascii="仿宋" w:hAnsi="仿宋" w:eastAsia="仿宋" w:cs="仿宋"/>
          <w:color w:val="FF0000"/>
          <w:sz w:val="24"/>
          <w:u w:val="single"/>
        </w:rPr>
        <w:t xml:space="preserve"> </w:t>
      </w:r>
      <w:r>
        <w:rPr>
          <w:rFonts w:hint="eastAsia" w:ascii="仿宋" w:hAnsi="仿宋" w:eastAsia="仿宋" w:cs="仿宋"/>
          <w:color w:val="FF0000"/>
          <w:sz w:val="24"/>
        </w:rPr>
        <w:t>年</w:t>
      </w:r>
      <w:r>
        <w:rPr>
          <w:rFonts w:hint="eastAsia" w:ascii="仿宋" w:hAnsi="仿宋" w:eastAsia="仿宋" w:cs="仿宋"/>
          <w:color w:val="000000" w:themeColor="text1"/>
          <w:sz w:val="24"/>
        </w:rPr>
        <w:t>。</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themeColor="text1"/>
          <w:sz w:val="24"/>
        </w:rPr>
      </w:pP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ascii="仿宋" w:hAnsi="仿宋" w:eastAsia="仿宋" w:cs="仿宋"/>
          <w:color w:val="000000"/>
          <w:sz w:val="24"/>
        </w:rPr>
      </w:pPr>
      <w:r>
        <w:rPr>
          <w:rFonts w:hint="eastAsia" w:ascii="仿宋" w:hAnsi="仿宋" w:eastAsia="仿宋" w:cs="仿宋"/>
          <w:color w:val="000000"/>
          <w:sz w:val="24"/>
        </w:rPr>
        <w:t>★3.2</w:t>
      </w:r>
    </w:p>
    <w:p>
      <w:pPr>
        <w:spacing w:line="440" w:lineRule="exact"/>
        <w:rPr>
          <w:rFonts w:hint="eastAsia" w:ascii="仿宋" w:hAnsi="仿宋" w:eastAsia="仿宋" w:cs="仿宋"/>
          <w:sz w:val="24"/>
        </w:rPr>
      </w:pPr>
      <w:r>
        <w:rPr>
          <w:rFonts w:hint="eastAsia" w:ascii="仿宋" w:hAnsi="仿宋" w:eastAsia="仿宋" w:cs="仿宋"/>
          <w:sz w:val="24"/>
        </w:rPr>
        <w:t>具体付款方式：本合同分二期支付，第一期：乙方按合同协议时间提供货物，并经协议规定的验收人员书面确认验收合格后，开具全额发票，甲方确认无误后一个月内支付合同总金额的95%的款项。第</w:t>
      </w:r>
      <w:r>
        <w:rPr>
          <w:rFonts w:hint="eastAsia" w:ascii="仿宋" w:hAnsi="仿宋" w:eastAsia="仿宋" w:cs="仿宋"/>
          <w:sz w:val="24"/>
          <w:lang w:val="en-US" w:eastAsia="zh-CN"/>
        </w:rPr>
        <w:t>二</w:t>
      </w:r>
      <w:r>
        <w:rPr>
          <w:rFonts w:hint="eastAsia" w:ascii="仿宋" w:hAnsi="仿宋" w:eastAsia="仿宋" w:cs="仿宋"/>
          <w:sz w:val="24"/>
        </w:rPr>
        <w:t>期：合同总金额的5%的款项在</w:t>
      </w:r>
      <w:r>
        <w:rPr>
          <w:rFonts w:hint="eastAsia" w:ascii="仿宋" w:hAnsi="仿宋" w:eastAsia="仿宋" w:cs="仿宋"/>
          <w:sz w:val="24"/>
          <w:u w:val="single"/>
        </w:rPr>
        <w:t>质保期</w:t>
      </w:r>
      <w:r>
        <w:rPr>
          <w:rFonts w:hint="eastAsia" w:ascii="仿宋" w:hAnsi="仿宋" w:eastAsia="仿宋" w:cs="仿宋"/>
          <w:sz w:val="24"/>
        </w:rPr>
        <w:t>后无息支付。</w:t>
      </w:r>
    </w:p>
    <w:p>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6402D6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6D7485F"/>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5A6D87"/>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225518A"/>
    <w:rsid w:val="53223453"/>
    <w:rsid w:val="54B34A9B"/>
    <w:rsid w:val="562C6AB3"/>
    <w:rsid w:val="56AB1A08"/>
    <w:rsid w:val="59480742"/>
    <w:rsid w:val="5CEB018E"/>
    <w:rsid w:val="5D4446FE"/>
    <w:rsid w:val="5EC71180"/>
    <w:rsid w:val="5F580C6B"/>
    <w:rsid w:val="5F8F08C0"/>
    <w:rsid w:val="5FA44E0F"/>
    <w:rsid w:val="5FE15E62"/>
    <w:rsid w:val="60182200"/>
    <w:rsid w:val="60221DB4"/>
    <w:rsid w:val="60872EF7"/>
    <w:rsid w:val="61F160E0"/>
    <w:rsid w:val="628D32EA"/>
    <w:rsid w:val="63895A12"/>
    <w:rsid w:val="644C371A"/>
    <w:rsid w:val="668E3985"/>
    <w:rsid w:val="66AF192B"/>
    <w:rsid w:val="6741119A"/>
    <w:rsid w:val="677850FC"/>
    <w:rsid w:val="6AC879A3"/>
    <w:rsid w:val="6C0350BE"/>
    <w:rsid w:val="6C1727C7"/>
    <w:rsid w:val="6C1D026B"/>
    <w:rsid w:val="6C851FDC"/>
    <w:rsid w:val="6DCA297E"/>
    <w:rsid w:val="6E7D7016"/>
    <w:rsid w:val="6EE6418B"/>
    <w:rsid w:val="6F8010C8"/>
    <w:rsid w:val="6F957CEC"/>
    <w:rsid w:val="6FB54CDB"/>
    <w:rsid w:val="71F07CE7"/>
    <w:rsid w:val="73A94275"/>
    <w:rsid w:val="7547180C"/>
    <w:rsid w:val="781F3285"/>
    <w:rsid w:val="78EF7DAC"/>
    <w:rsid w:val="79070A07"/>
    <w:rsid w:val="7A3F777B"/>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2346</Words>
  <Characters>2504</Characters>
  <Lines>5</Lines>
  <Paragraphs>1</Paragraphs>
  <TotalTime>0</TotalTime>
  <ScaleCrop>false</ScaleCrop>
  <LinksUpToDate>false</LinksUpToDate>
  <CharactersWithSpaces>2596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2024-11-15T02:53:39Z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