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EB8AD">
      <w:pPr>
        <w:jc w:val="center"/>
        <w:rPr>
          <w:rFonts w:hint="eastAsia"/>
          <w:sz w:val="44"/>
          <w:szCs w:val="52"/>
          <w:lang w:val="en-US" w:eastAsia="zh-CN"/>
        </w:rPr>
      </w:pPr>
      <w:r>
        <w:rPr>
          <w:rFonts w:hint="eastAsia"/>
          <w:sz w:val="44"/>
          <w:szCs w:val="52"/>
          <w:lang w:val="en-US" w:eastAsia="zh-CN"/>
        </w:rPr>
        <w:t>采购需求书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31C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tcPr>
          <w:p w14:paraId="0B30D8EF">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7599" w:type="dxa"/>
          </w:tcPr>
          <w:p w14:paraId="6BFF0763">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7CAC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075B64C">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599" w:type="dxa"/>
            <w:vAlign w:val="center"/>
          </w:tcPr>
          <w:p w14:paraId="1EDF6EDB">
            <w:pPr>
              <w:spacing w:line="440" w:lineRule="exact"/>
              <w:rPr>
                <w:rFonts w:hint="eastAsia" w:ascii="宋体" w:hAnsi="宋体"/>
                <w:b/>
                <w:color w:val="000000" w:themeColor="text1"/>
                <w:szCs w:val="21"/>
                <w14:textFill>
                  <w14:solidFill>
                    <w14:schemeClr w14:val="tx1"/>
                  </w14:solidFill>
                </w14:textFill>
              </w:rPr>
            </w:pPr>
            <w:r>
              <w:rPr>
                <w:rFonts w:hint="eastAsia" w:ascii="宋体" w:hAnsi="宋体"/>
                <w:color w:val="000000"/>
                <w:szCs w:val="21"/>
                <w:lang w:val="en-US" w:eastAsia="zh-CN"/>
              </w:rPr>
              <w:t>维保对象</w:t>
            </w:r>
            <w:r>
              <w:rPr>
                <w:rFonts w:hint="eastAsia" w:ascii="宋体" w:hAnsi="宋体"/>
                <w:color w:val="000000"/>
                <w:szCs w:val="21"/>
              </w:rPr>
              <w:t>：</w:t>
            </w:r>
            <w:r>
              <w:rPr>
                <w:rFonts w:ascii="宋体" w:hAnsi="宋体"/>
                <w:color w:val="000000"/>
                <w:szCs w:val="21"/>
              </w:rPr>
              <w:t>Philips Brilliance Big Bore CT</w:t>
            </w:r>
          </w:p>
        </w:tc>
      </w:tr>
      <w:tr w14:paraId="56AD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04C162DA">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599" w:type="dxa"/>
          </w:tcPr>
          <w:p w14:paraId="09FA015E">
            <w:pPr>
              <w:spacing w:line="440" w:lineRule="exact"/>
              <w:rPr>
                <w:rFonts w:hint="eastAsia" w:ascii="宋体" w:hAnsi="宋体"/>
                <w:color w:val="000000"/>
                <w:szCs w:val="21"/>
              </w:rPr>
            </w:pPr>
            <w:r>
              <w:rPr>
                <w:rFonts w:hint="eastAsia" w:ascii="宋体" w:hAnsi="宋体"/>
                <w:color w:val="000000"/>
                <w:szCs w:val="21"/>
                <w:lang w:val="en-US" w:eastAsia="zh-CN"/>
              </w:rPr>
              <w:t>维保时长</w:t>
            </w:r>
            <w:r>
              <w:rPr>
                <w:rFonts w:hint="eastAsia" w:ascii="宋体" w:hAnsi="宋体"/>
                <w:color w:val="000000"/>
                <w:szCs w:val="21"/>
              </w:rPr>
              <w:t>：三年</w:t>
            </w:r>
          </w:p>
          <w:p w14:paraId="57132127">
            <w:pPr>
              <w:spacing w:line="440" w:lineRule="exact"/>
              <w:rPr>
                <w:rFonts w:hint="eastAsia" w:ascii="宋体" w:hAnsi="宋体"/>
                <w:color w:val="000000"/>
                <w:szCs w:val="21"/>
              </w:rPr>
            </w:pPr>
            <w:r>
              <w:rPr>
                <w:rFonts w:hint="eastAsia" w:ascii="宋体" w:hAnsi="宋体"/>
                <w:color w:val="000000"/>
                <w:szCs w:val="21"/>
                <w:lang w:val="en-US" w:eastAsia="zh-CN"/>
              </w:rPr>
              <w:t>维保</w:t>
            </w:r>
            <w:r>
              <w:rPr>
                <w:rFonts w:hint="eastAsia" w:ascii="宋体" w:hAnsi="宋体"/>
                <w:color w:val="000000"/>
                <w:szCs w:val="21"/>
              </w:rPr>
              <w:t>内容：包括Philips Brilliance Big Bore CT（大孔径CT）的维修及保养所需的备件及费用。包含每年4次整机保养，无限次数维修。</w:t>
            </w:r>
          </w:p>
          <w:p w14:paraId="13EBC33E">
            <w:pPr>
              <w:spacing w:line="440" w:lineRule="exact"/>
              <w:rPr>
                <w:rFonts w:hint="eastAsia" w:ascii="宋体" w:hAnsi="宋体"/>
                <w:color w:val="000000"/>
                <w:szCs w:val="21"/>
              </w:rPr>
            </w:pPr>
            <w:r>
              <w:rPr>
                <w:rFonts w:hint="eastAsia" w:ascii="宋体" w:hAnsi="宋体"/>
                <w:color w:val="000000"/>
                <w:szCs w:val="21"/>
              </w:rPr>
              <w:t>服务范围包括：整机主机，球管、探测器、高压发生器等，以及大孔径CT专属高压注射器壹台的保修，设备型号：DC009DW（Salient），包含其他所有第三方生产或拥有的设备和软件，如稳压电源，UPS，视频外设，操作系统升级等。</w:t>
            </w:r>
          </w:p>
        </w:tc>
      </w:tr>
      <w:tr w14:paraId="1899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4D71DEC">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599" w:type="dxa"/>
          </w:tcPr>
          <w:p w14:paraId="2BA3CD63">
            <w:pPr>
              <w:spacing w:line="440" w:lineRule="exact"/>
              <w:rPr>
                <w:rFonts w:hint="eastAsia" w:ascii="宋体" w:hAnsi="宋体"/>
                <w:color w:val="000000"/>
                <w:szCs w:val="21"/>
              </w:rPr>
            </w:pPr>
            <w:r>
              <w:rPr>
                <w:rFonts w:hint="eastAsia" w:ascii="宋体" w:hAnsi="宋体"/>
                <w:color w:val="000000"/>
                <w:szCs w:val="21"/>
              </w:rPr>
              <w:t>安全检查：按照厂家设备本身标准及当地规定执行。</w:t>
            </w:r>
          </w:p>
          <w:p w14:paraId="460B22F6">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制定检查计划</w:t>
            </w:r>
          </w:p>
          <w:p w14:paraId="34490299">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机械安全检查</w:t>
            </w:r>
          </w:p>
          <w:p w14:paraId="6FF56924">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电气安全检查</w:t>
            </w:r>
          </w:p>
          <w:p w14:paraId="34CF87CF">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记录检查结果</w:t>
            </w:r>
          </w:p>
        </w:tc>
      </w:tr>
      <w:tr w14:paraId="3C02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28960C1">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599" w:type="dxa"/>
          </w:tcPr>
          <w:p w14:paraId="4B51AC19">
            <w:pPr>
              <w:spacing w:line="440" w:lineRule="exact"/>
              <w:rPr>
                <w:rFonts w:hint="eastAsia" w:ascii="宋体" w:hAnsi="宋体"/>
                <w:color w:val="000000"/>
                <w:szCs w:val="21"/>
              </w:rPr>
            </w:pPr>
            <w:r>
              <w:rPr>
                <w:rFonts w:hint="eastAsia" w:ascii="宋体" w:hAnsi="宋体"/>
                <w:color w:val="000000"/>
                <w:szCs w:val="21"/>
              </w:rPr>
              <w:t>预防性保养：按照保养计划提供，每年提供专业保养，以保证设备处于最佳运行状态。</w:t>
            </w:r>
          </w:p>
          <w:p w14:paraId="174408B6">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记录并安排保养时间</w:t>
            </w:r>
          </w:p>
          <w:p w14:paraId="280EE87D">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按照厂家标准进行调校</w:t>
            </w:r>
          </w:p>
          <w:p w14:paraId="5EF9C9FE">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确认各项技术指标及性能</w:t>
            </w:r>
          </w:p>
          <w:p w14:paraId="2FC6F329">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年检时，中标人负责配合医院按照相关部门流程进行检测，以保障取得合格证。</w:t>
            </w:r>
          </w:p>
          <w:p w14:paraId="7E6B3638">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记录设备状况</w:t>
            </w:r>
          </w:p>
          <w:p w14:paraId="720C09BD">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提供每次保养后由设备本身导出的保养报告</w:t>
            </w:r>
          </w:p>
          <w:p w14:paraId="52DE7A31">
            <w:pPr>
              <w:spacing w:line="440" w:lineRule="exact"/>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预防性保养损耗品：预防性保养中需要更换的损耗品由中标人提供，以上费用已包含在投标报价中。</w:t>
            </w:r>
          </w:p>
        </w:tc>
      </w:tr>
      <w:tr w14:paraId="3BC7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6B20590">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599" w:type="dxa"/>
          </w:tcPr>
          <w:p w14:paraId="368C3483">
            <w:pPr>
              <w:spacing w:line="440" w:lineRule="exact"/>
              <w:rPr>
                <w:rFonts w:hint="eastAsia" w:ascii="宋体" w:hAnsi="宋体"/>
                <w:color w:val="000000"/>
                <w:szCs w:val="21"/>
              </w:rPr>
            </w:pPr>
            <w:r>
              <w:rPr>
                <w:rFonts w:hint="eastAsia" w:ascii="宋体" w:hAnsi="宋体"/>
                <w:bCs/>
                <w:color w:val="000000" w:themeColor="text1"/>
                <w:szCs w:val="21"/>
                <w14:textFill>
                  <w14:solidFill>
                    <w14:schemeClr w14:val="tx1"/>
                  </w14:solidFill>
                </w14:textFill>
              </w:rPr>
              <w:t>安全升级（FCO）：投标人或其维修服务商必须在原厂官方网站发布的升级公告规定时间内完成，并在升级完成后提供原厂该型号设备的升级文件及工作记录。</w:t>
            </w:r>
          </w:p>
        </w:tc>
      </w:tr>
      <w:tr w14:paraId="065B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A9C3105">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599" w:type="dxa"/>
          </w:tcPr>
          <w:p w14:paraId="05117293">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开机率：</w:t>
            </w:r>
          </w:p>
          <w:p w14:paraId="09651825">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在合同期内保证 95%的开机率（按一年365个日历日计算）。如果此开机率由于中标人的原因未能达到，按 1：</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 xml:space="preserve">比例顺延保修期时间（即按天算、开机日每降低 1 个日历日，保修期顺延 </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 xml:space="preserve"> 个日历日）</w:t>
            </w:r>
          </w:p>
        </w:tc>
      </w:tr>
      <w:tr w14:paraId="3B8E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0954D20">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7599" w:type="dxa"/>
          </w:tcPr>
          <w:p w14:paraId="4ABC7986">
            <w:pPr>
              <w:widowControl/>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工时：包含在保修合同期内所需的人工费用，签订保修合同的采购人享受优先派工，节假日加班费用不另外向采购人收取。</w:t>
            </w:r>
          </w:p>
        </w:tc>
      </w:tr>
      <w:tr w14:paraId="1150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7519E735">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599" w:type="dxa"/>
          </w:tcPr>
          <w:p w14:paraId="7DC7D7F5">
            <w:pPr>
              <w:spacing w:line="440" w:lineRule="exact"/>
              <w:rPr>
                <w:rFonts w:hint="eastAsia" w:ascii="宋体" w:hAnsi="宋体"/>
                <w:bCs/>
                <w:color w:val="000000" w:themeColor="text1"/>
                <w:szCs w:val="21"/>
                <w14:textFill>
                  <w14:solidFill>
                    <w14:schemeClr w14:val="tx1"/>
                  </w14:solidFill>
                </w14:textFill>
              </w:rPr>
            </w:pPr>
            <w:bookmarkStart w:id="0" w:name="OLE_LINK4"/>
            <w:bookmarkStart w:id="1" w:name="OLE_LINK3"/>
            <w:r>
              <w:rPr>
                <w:rFonts w:hint="eastAsia" w:ascii="宋体" w:hAnsi="宋体"/>
                <w:bCs/>
                <w:color w:val="000000" w:themeColor="text1"/>
                <w:szCs w:val="21"/>
                <w14:textFill>
                  <w14:solidFill>
                    <w14:schemeClr w14:val="tx1"/>
                  </w14:solidFill>
                </w14:textFill>
              </w:rPr>
              <w:t>▲</w:t>
            </w:r>
            <w:bookmarkEnd w:id="0"/>
            <w:bookmarkEnd w:id="1"/>
            <w:r>
              <w:rPr>
                <w:rFonts w:hint="eastAsia" w:ascii="宋体" w:hAnsi="宋体"/>
                <w:bCs/>
                <w:color w:val="000000" w:themeColor="text1"/>
                <w:szCs w:val="21"/>
                <w14:textFill>
                  <w14:solidFill>
                    <w14:schemeClr w14:val="tx1"/>
                  </w14:solidFill>
                </w14:textFill>
              </w:rPr>
              <w:t>备件：</w:t>
            </w:r>
          </w:p>
          <w:p w14:paraId="76B4CE02">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件必须是原厂认证合格的零备件，备件有追踪号码，保障不会对设备质量或图像产生不良影响。提供保修所需的备件，备件供应要及时、充足。如因提供不合法不合规或来路不明的备件而引起的相关损失及法律责任由中标人自行承担</w:t>
            </w:r>
            <w:r>
              <w:rPr>
                <w:rFonts w:hint="eastAsia" w:ascii="宋体" w:hAnsi="宋体"/>
                <w:b/>
                <w:color w:val="000000" w:themeColor="text1"/>
                <w:szCs w:val="21"/>
                <w14:textFill>
                  <w14:solidFill>
                    <w14:schemeClr w14:val="tx1"/>
                  </w14:solidFill>
                </w14:textFill>
              </w:rPr>
              <w:t>(投标文件中提供承诺函并加盖投标人公章)</w:t>
            </w:r>
            <w:r>
              <w:rPr>
                <w:rFonts w:hint="eastAsia" w:ascii="宋体" w:hAnsi="宋体"/>
                <w:bCs/>
                <w:color w:val="000000" w:themeColor="text1"/>
                <w:szCs w:val="21"/>
                <w14:textFill>
                  <w14:solidFill>
                    <w14:schemeClr w14:val="tx1"/>
                  </w14:solidFill>
                </w14:textFill>
              </w:rPr>
              <w:t>。</w:t>
            </w:r>
          </w:p>
        </w:tc>
      </w:tr>
      <w:tr w14:paraId="5330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48256F8E">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599" w:type="dxa"/>
          </w:tcPr>
          <w:p w14:paraId="5F357D0A">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▲为保障备件的快速且安全的供应，投标人或其维修服务商需在国内设有零备件保税仓库</w:t>
            </w:r>
            <w:r>
              <w:rPr>
                <w:rFonts w:hint="eastAsia" w:ascii="宋体" w:hAnsi="宋体"/>
                <w:b/>
                <w:color w:val="000000" w:themeColor="text1"/>
                <w:szCs w:val="21"/>
                <w14:textFill>
                  <w14:solidFill>
                    <w14:schemeClr w14:val="tx1"/>
                  </w14:solidFill>
                </w14:textFill>
              </w:rPr>
              <w:t>（投标文件中提供</w:t>
            </w:r>
            <w:r>
              <w:rPr>
                <w:rFonts w:ascii="宋体" w:hAnsi="宋体"/>
                <w:b/>
                <w:color w:val="000000" w:themeColor="text1"/>
                <w:szCs w:val="21"/>
                <w14:textFill>
                  <w14:solidFill>
                    <w14:schemeClr w14:val="tx1"/>
                  </w14:solidFill>
                </w14:textFill>
              </w:rPr>
              <w:t>相应</w:t>
            </w:r>
            <w:r>
              <w:rPr>
                <w:rFonts w:hint="eastAsia" w:ascii="宋体" w:hAnsi="宋体"/>
                <w:b/>
                <w:color w:val="000000" w:themeColor="text1"/>
                <w:szCs w:val="21"/>
                <w14:textFill>
                  <w14:solidFill>
                    <w14:schemeClr w14:val="tx1"/>
                  </w14:solidFill>
                </w14:textFill>
              </w:rPr>
              <w:t>的产权证明文件（或租赁合同）复印件以及保税仓库注册登记证书复印件并加盖投标人公章）</w:t>
            </w:r>
            <w:r>
              <w:rPr>
                <w:rFonts w:hint="eastAsia" w:ascii="宋体" w:hAnsi="宋体"/>
                <w:bCs/>
                <w:color w:val="000000" w:themeColor="text1"/>
                <w:szCs w:val="21"/>
                <w14:textFill>
                  <w14:solidFill>
                    <w14:schemeClr w14:val="tx1"/>
                  </w14:solidFill>
                </w14:textFill>
              </w:rPr>
              <w:t>。</w:t>
            </w:r>
          </w:p>
        </w:tc>
      </w:tr>
      <w:tr w14:paraId="097C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5226BEAC">
            <w:pPr>
              <w:spacing w:line="4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p>
        </w:tc>
        <w:tc>
          <w:tcPr>
            <w:tcW w:w="7599" w:type="dxa"/>
          </w:tcPr>
          <w:p w14:paraId="336DA98C">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▲远程连接：</w:t>
            </w:r>
          </w:p>
          <w:p w14:paraId="110E2A44">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投标人或其维修服务商需提供基于设备嵌入式远程连接方案的实时远程服务，在用户允许的情况下可以接入设备，以保证维修的及时性，且远程服务应满足以下需求：</w:t>
            </w:r>
          </w:p>
          <w:p w14:paraId="67783457">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1、该远程服务可以实现远程不断监控和保护医疗设备，及时发出预警，在出现故障之前，就可对其进行远程维护和处理，以减少设备停机时间，提高设备使用率。</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、基于设备嵌入式远程连接方案投标服务商需符合HIPAA和NEMA安全要求，并且通过ISO27001国际信息安全管理体系。</w:t>
            </w:r>
          </w:p>
        </w:tc>
      </w:tr>
      <w:tr w14:paraId="0246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3A8AA54">
            <w:pPr>
              <w:spacing w:line="4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7599" w:type="dxa"/>
          </w:tcPr>
          <w:p w14:paraId="489B20D2">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提供24小时 *365天有工程师接听</w:t>
            </w:r>
            <w:r>
              <w:rPr>
                <w:rFonts w:hint="eastAsia" w:ascii="宋体" w:hAnsi="宋体"/>
                <w:bCs/>
                <w:color w:val="000000" w:themeColor="text1"/>
                <w:szCs w:val="21"/>
                <w:lang w:val="en-US" w:eastAsia="zh-CN"/>
                <w14:textFill>
                  <w14:solidFill>
                    <w14:schemeClr w14:val="tx1"/>
                  </w14:solidFill>
                </w14:textFill>
              </w:rPr>
              <w:t>电话热线</w:t>
            </w:r>
            <w:r>
              <w:rPr>
                <w:rFonts w:hint="eastAsia" w:ascii="宋体" w:hAnsi="宋体"/>
                <w:bCs/>
                <w:color w:val="000000" w:themeColor="text1"/>
                <w:szCs w:val="21"/>
                <w14:textFill>
                  <w14:solidFill>
                    <w14:schemeClr w14:val="tx1"/>
                  </w14:solidFill>
                </w14:textFill>
              </w:rPr>
              <w:t>，为用户快速诊断和提供技术支持服务。接到维修要求后，如是设备停机或是影响设备使用的故障，第二个工作日内到达现场；如是间接性故障或不影响设备使用的故障，在取得科室同意的情况下，可酌情延长到场时间。</w:t>
            </w:r>
          </w:p>
          <w:p w14:paraId="4CBBC510">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投标人须在每次维护保养后，三个工作日内，向采购人提供保养记录报告，由采购人签字确认；投标人须在每次维修后，三个工作日内向采购人提供维修记录报告（报告包括不限于损害配件、故障原因、更换备件名称、型号、来源等内容）；中标人每年12月31日前向采购人提供年度维修报告（报告符合三甲医院要求标准，同时包括但不限于以下内容：故障明细及解决时间、预防性建议、易发生故障部件及日常防范方式等）。</w:t>
            </w:r>
            <w:r>
              <w:rPr>
                <w:rFonts w:hint="eastAsia" w:ascii="宋体" w:hAnsi="宋体"/>
                <w:bCs/>
                <w:color w:val="000000" w:themeColor="text1"/>
                <w:szCs w:val="21"/>
                <w14:textFill>
                  <w14:solidFill>
                    <w14:schemeClr w14:val="tx1"/>
                  </w14:solidFill>
                </w14:textFill>
              </w:rPr>
              <w:t>（投标文件中提供承诺书并加盖投标人公章）。</w:t>
            </w:r>
          </w:p>
        </w:tc>
      </w:tr>
      <w:tr w14:paraId="4A26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14:paraId="78647AE8">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7599" w:type="dxa"/>
          </w:tcPr>
          <w:p w14:paraId="41CBFFEF">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提供维护保养的专业工具的介绍，需图文并茂。</w:t>
            </w:r>
          </w:p>
        </w:tc>
      </w:tr>
      <w:tr w14:paraId="455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14:paraId="38DA9750">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7599" w:type="dxa"/>
          </w:tcPr>
          <w:p w14:paraId="34EBA551">
            <w:pPr>
              <w:spacing w:line="440" w:lineRule="exact"/>
              <w:rPr>
                <w:rFonts w:hint="eastAsia" w:ascii="宋体" w:hAnsi="宋体"/>
                <w:bCs/>
                <w:color w:val="000000" w:themeColor="text1"/>
                <w:szCs w:val="21"/>
                <w14:textFill>
                  <w14:solidFill>
                    <w14:schemeClr w14:val="tx1"/>
                  </w14:solidFill>
                </w14:textFill>
              </w:rPr>
            </w:pPr>
            <w:bookmarkStart w:id="2" w:name="OLE_LINK6"/>
            <w:bookmarkStart w:id="3" w:name="OLE_LINK5"/>
            <w:r>
              <w:rPr>
                <w:rFonts w:hint="eastAsia" w:ascii="宋体" w:hAnsi="宋体"/>
                <w:bCs/>
                <w:color w:val="000000" w:themeColor="text1"/>
                <w:szCs w:val="21"/>
                <w14:textFill>
                  <w14:solidFill>
                    <w14:schemeClr w14:val="tx1"/>
                  </w14:solidFill>
                </w14:textFill>
              </w:rPr>
              <w:t>对于该设备的MRC880球管，为设备的核心重点备件，投标人或其维修服务商需具备原厂提供的全新合格球管的库存，在投标文件中提供近一年内该库存球管的合法进口证明文件，包含但不限于该球管的进口报关单、清晰体现该球管序列号的运货单以及中国海关要求的医疗器械标签等资料，不低于3条球管信息。</w:t>
            </w:r>
            <w:bookmarkEnd w:id="2"/>
            <w:bookmarkEnd w:id="3"/>
            <w:r>
              <w:rPr>
                <w:rFonts w:hint="eastAsia" w:ascii="宋体" w:hAnsi="宋体"/>
                <w:b/>
                <w:color w:val="000000" w:themeColor="text1"/>
                <w:szCs w:val="21"/>
                <w14:textFill>
                  <w14:solidFill>
                    <w14:schemeClr w14:val="tx1"/>
                  </w14:solidFill>
                </w14:textFill>
              </w:rPr>
              <w:t>（投标文件中提供证明材料并加盖投标人公章）</w:t>
            </w:r>
            <w:r>
              <w:rPr>
                <w:rFonts w:hint="eastAsia" w:ascii="宋体" w:hAnsi="宋体"/>
                <w:bCs/>
                <w:color w:val="000000" w:themeColor="text1"/>
                <w:szCs w:val="21"/>
                <w14:textFill>
                  <w14:solidFill>
                    <w14:schemeClr w14:val="tx1"/>
                  </w14:solidFill>
                </w14:textFill>
              </w:rPr>
              <w:t>。</w:t>
            </w:r>
          </w:p>
          <w:p w14:paraId="29D5F59B">
            <w:pPr>
              <w:spacing w:line="440" w:lineRule="exact"/>
              <w:rPr>
                <w:rFonts w:hint="eastAsia" w:ascii="宋体" w:hAnsi="宋体"/>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如合同期内球管没有损坏，经采购人确认同意，中标人出保前须更换一支全新原厂球管。</w:t>
            </w:r>
          </w:p>
        </w:tc>
      </w:tr>
      <w:tr w14:paraId="011B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14:paraId="4D148B0C">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7599" w:type="dxa"/>
          </w:tcPr>
          <w:p w14:paraId="2827274C">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维护保养工程师的资质：为保障更快捷更满意的服务，投标人或其维修服务商需在广东省设有维修站，并配备不少于</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位工程师。投标人派遣来的维修和保养的工程师必须具备维修CT的资质，需提供有效期内的培训证明及工牌</w:t>
            </w:r>
            <w:r>
              <w:rPr>
                <w:rFonts w:hint="eastAsia" w:ascii="宋体" w:hAnsi="宋体"/>
                <w:b/>
                <w:color w:val="000000" w:themeColor="text1"/>
                <w:szCs w:val="21"/>
                <w14:textFill>
                  <w14:solidFill>
                    <w14:schemeClr w14:val="tx1"/>
                  </w14:solidFill>
                </w14:textFill>
              </w:rPr>
              <w:t>（投标文件中提供的培训证书必须是本项目设备的生产厂商出具的技术培训证明复印件）。</w:t>
            </w:r>
          </w:p>
        </w:tc>
      </w:tr>
      <w:tr w14:paraId="69B8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14:paraId="12C7FDDC">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p>
        </w:tc>
        <w:tc>
          <w:tcPr>
            <w:tcW w:w="7599" w:type="dxa"/>
          </w:tcPr>
          <w:p w14:paraId="1D629347">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▲投标人或其维修服务商承诺在整个合同期内都能合法获得原厂高级故障诊断软件的诊断维</w:t>
            </w:r>
            <w:bookmarkStart w:id="4" w:name="_GoBack"/>
            <w:bookmarkEnd w:id="4"/>
            <w:r>
              <w:rPr>
                <w:rFonts w:hint="eastAsia" w:ascii="宋体" w:hAnsi="宋体"/>
                <w:bCs/>
                <w:color w:val="000000" w:themeColor="text1"/>
                <w:szCs w:val="21"/>
                <w14:textFill>
                  <w14:solidFill>
                    <w14:schemeClr w14:val="tx1"/>
                  </w14:solidFill>
                </w14:textFill>
              </w:rPr>
              <w:t>修钥匙（service key），并保证不违反国家有关知识产权的法律规定，并能按时提交年度维修报告书</w:t>
            </w:r>
            <w:r>
              <w:rPr>
                <w:rFonts w:hint="eastAsia" w:ascii="宋体" w:hAnsi="宋体"/>
                <w:b/>
                <w:color w:val="000000" w:themeColor="text1"/>
                <w:szCs w:val="21"/>
                <w14:textFill>
                  <w14:solidFill>
                    <w14:schemeClr w14:val="tx1"/>
                  </w14:solidFill>
                </w14:textFill>
              </w:rPr>
              <w:t>（投标文件中提供承诺书或证明材料并加盖投标人公章）</w:t>
            </w:r>
            <w:r>
              <w:rPr>
                <w:rFonts w:hint="eastAsia" w:ascii="宋体" w:hAnsi="宋体"/>
                <w:bCs/>
                <w:color w:val="000000" w:themeColor="text1"/>
                <w:szCs w:val="21"/>
                <w14:textFill>
                  <w14:solidFill>
                    <w14:schemeClr w14:val="tx1"/>
                  </w14:solidFill>
                </w14:textFill>
              </w:rPr>
              <w:t>。</w:t>
            </w:r>
          </w:p>
        </w:tc>
      </w:tr>
      <w:tr w14:paraId="6E18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3" w:type="dxa"/>
          </w:tcPr>
          <w:p w14:paraId="717D66BF">
            <w:pPr>
              <w:spacing w:line="4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7</w:t>
            </w:r>
          </w:p>
        </w:tc>
        <w:tc>
          <w:tcPr>
            <w:tcW w:w="7599" w:type="dxa"/>
          </w:tcPr>
          <w:p w14:paraId="72DB9CBA">
            <w:pPr>
              <w:spacing w:line="440" w:lineRule="exact"/>
              <w:rPr>
                <w:rFonts w:hint="eastAsia" w:ascii="宋体" w:hAnsi="宋体" w:eastAsia="宋体" w:cs="Times New Roman"/>
                <w:szCs w:val="21"/>
                <w:lang w:val="zh-CN"/>
              </w:rPr>
            </w:pPr>
            <w:r>
              <w:rPr>
                <w:rFonts w:hint="eastAsia" w:ascii="宋体" w:hAnsi="宋体"/>
                <w:bCs/>
                <w:color w:val="000000" w:themeColor="text1"/>
                <w:szCs w:val="21"/>
                <w14:textFill>
                  <w14:solidFill>
                    <w14:schemeClr w14:val="tx1"/>
                  </w14:solidFill>
                </w14:textFill>
              </w:rPr>
              <w:t>▲</w:t>
            </w:r>
            <w:r>
              <w:rPr>
                <w:rFonts w:hint="eastAsia" w:ascii="宋体" w:hAnsi="宋体" w:eastAsia="宋体" w:cs="Times New Roman"/>
                <w:szCs w:val="21"/>
                <w:lang w:val="zh-CN"/>
              </w:rPr>
              <w:t>投标人或其维修服务商需在国内有专门的培训基地</w:t>
            </w:r>
            <w:r>
              <w:rPr>
                <w:rFonts w:hint="eastAsia" w:ascii="宋体" w:hAnsi="宋体" w:eastAsia="宋体" w:cs="Times New Roman"/>
                <w:b/>
                <w:bCs/>
                <w:szCs w:val="21"/>
                <w:lang w:val="zh-CN"/>
              </w:rPr>
              <w:t>（</w:t>
            </w:r>
            <w:r>
              <w:rPr>
                <w:rFonts w:hint="eastAsia" w:ascii="宋体" w:hAnsi="宋体" w:eastAsia="宋体" w:cs="Times New Roman"/>
                <w:b/>
                <w:bCs/>
                <w:szCs w:val="21"/>
              </w:rPr>
              <w:t>投标文件中</w:t>
            </w:r>
            <w:r>
              <w:rPr>
                <w:rFonts w:hint="eastAsia" w:ascii="宋体" w:hAnsi="宋体" w:eastAsia="宋体" w:cs="Times New Roman"/>
                <w:b/>
                <w:bCs/>
                <w:szCs w:val="21"/>
                <w:lang w:val="zh-CN"/>
              </w:rPr>
              <w:t>提供该培训基地的场地信息</w:t>
            </w:r>
            <w:r>
              <w:rPr>
                <w:rFonts w:hint="eastAsia" w:ascii="宋体" w:hAnsi="宋体" w:eastAsia="宋体" w:cs="Times New Roman"/>
                <w:b/>
                <w:bCs/>
                <w:szCs w:val="21"/>
              </w:rPr>
              <w:t>以及产权证明（或</w:t>
            </w:r>
            <w:r>
              <w:rPr>
                <w:rFonts w:hint="eastAsia" w:ascii="宋体" w:hAnsi="宋体" w:eastAsia="宋体" w:cs="Times New Roman"/>
                <w:b/>
                <w:bCs/>
                <w:szCs w:val="21"/>
                <w:lang w:val="zh-CN"/>
              </w:rPr>
              <w:t>租赁合同</w:t>
            </w:r>
            <w:r>
              <w:rPr>
                <w:rFonts w:hint="eastAsia" w:ascii="宋体" w:hAnsi="宋体" w:eastAsia="宋体" w:cs="Times New Roman"/>
                <w:b/>
                <w:bCs/>
                <w:szCs w:val="21"/>
              </w:rPr>
              <w:t>）</w:t>
            </w:r>
            <w:r>
              <w:rPr>
                <w:rFonts w:hint="eastAsia" w:ascii="宋体" w:hAnsi="宋体" w:eastAsia="宋体" w:cs="Times New Roman"/>
                <w:b/>
                <w:bCs/>
                <w:szCs w:val="21"/>
                <w:lang w:val="zh-CN"/>
              </w:rPr>
              <w:t>）</w:t>
            </w:r>
            <w:r>
              <w:rPr>
                <w:rFonts w:hint="eastAsia" w:ascii="宋体" w:hAnsi="宋体" w:eastAsia="宋体" w:cs="Times New Roman"/>
                <w:szCs w:val="21"/>
                <w:lang w:val="zh-CN"/>
              </w:rPr>
              <w:t>，同时提供培训的讲师需具备国际认证的CTT+培训资格</w:t>
            </w:r>
            <w:r>
              <w:rPr>
                <w:rFonts w:hint="eastAsia" w:ascii="宋体" w:hAnsi="宋体" w:eastAsia="宋体" w:cs="Times New Roman"/>
                <w:b/>
                <w:bCs/>
                <w:szCs w:val="21"/>
                <w:lang w:val="zh-CN"/>
              </w:rPr>
              <w:t>（</w:t>
            </w:r>
            <w:r>
              <w:rPr>
                <w:rFonts w:hint="eastAsia" w:ascii="宋体" w:hAnsi="宋体" w:eastAsia="宋体" w:cs="Times New Roman"/>
                <w:b/>
                <w:bCs/>
                <w:szCs w:val="21"/>
              </w:rPr>
              <w:t>投标文件中</w:t>
            </w:r>
            <w:r>
              <w:rPr>
                <w:rFonts w:hint="eastAsia" w:ascii="宋体" w:hAnsi="宋体" w:eastAsia="宋体" w:cs="Times New Roman"/>
                <w:b/>
                <w:bCs/>
                <w:szCs w:val="21"/>
                <w:lang w:val="zh-CN"/>
              </w:rPr>
              <w:t>提供</w:t>
            </w:r>
            <w:r>
              <w:rPr>
                <w:rFonts w:hint="eastAsia" w:ascii="宋体" w:hAnsi="宋体" w:eastAsia="宋体" w:cs="Times New Roman"/>
                <w:b/>
                <w:bCs/>
                <w:szCs w:val="21"/>
              </w:rPr>
              <w:t>资格证书</w:t>
            </w:r>
            <w:r>
              <w:rPr>
                <w:rFonts w:hint="eastAsia" w:ascii="宋体" w:hAnsi="宋体" w:eastAsia="宋体" w:cs="Times New Roman"/>
                <w:b/>
                <w:bCs/>
                <w:szCs w:val="21"/>
                <w:lang w:val="zh-CN"/>
              </w:rPr>
              <w:t>复印件</w:t>
            </w:r>
            <w:r>
              <w:rPr>
                <w:rFonts w:hint="eastAsia" w:ascii="宋体" w:hAnsi="宋体" w:eastAsia="宋体" w:cs="Times New Roman"/>
                <w:b/>
                <w:bCs/>
                <w:szCs w:val="21"/>
              </w:rPr>
              <w:t>并</w:t>
            </w:r>
            <w:r>
              <w:rPr>
                <w:rFonts w:hint="eastAsia" w:ascii="宋体" w:hAnsi="宋体" w:eastAsia="宋体" w:cs="Times New Roman"/>
                <w:b/>
                <w:bCs/>
                <w:szCs w:val="21"/>
                <w:lang w:val="zh-CN"/>
              </w:rPr>
              <w:t>加盖</w:t>
            </w:r>
            <w:r>
              <w:rPr>
                <w:rFonts w:hint="eastAsia" w:ascii="宋体" w:hAnsi="宋体" w:eastAsia="宋体" w:cs="Times New Roman"/>
                <w:b/>
                <w:bCs/>
                <w:szCs w:val="21"/>
              </w:rPr>
              <w:t>投标人</w:t>
            </w:r>
            <w:r>
              <w:rPr>
                <w:rFonts w:hint="eastAsia" w:ascii="宋体" w:hAnsi="宋体" w:eastAsia="宋体" w:cs="Times New Roman"/>
                <w:b/>
                <w:bCs/>
                <w:szCs w:val="21"/>
                <w:lang w:val="zh-CN"/>
              </w:rPr>
              <w:t>公章）</w:t>
            </w:r>
            <w:r>
              <w:rPr>
                <w:rFonts w:hint="eastAsia" w:ascii="宋体" w:hAnsi="宋体" w:eastAsia="宋体" w:cs="Times New Roman"/>
                <w:szCs w:val="21"/>
                <w:lang w:val="zh-CN"/>
              </w:rPr>
              <w:t>。</w:t>
            </w:r>
          </w:p>
        </w:tc>
      </w:tr>
    </w:tbl>
    <w:p w14:paraId="703644AF">
      <w:pPr>
        <w:jc w:val="both"/>
        <w:rPr>
          <w:rFonts w:hint="default" w:ascii="宋体" w:hAnsi="宋体"/>
          <w:color w:val="00000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320E4EE0"/>
    <w:rsid w:val="320E4EE0"/>
    <w:rsid w:val="6C75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1691</Words>
  <Characters>1797</Characters>
  <Lines>0</Lines>
  <Paragraphs>0</Paragraphs>
  <TotalTime>5</TotalTime>
  <ScaleCrop>false</ScaleCrop>
  <LinksUpToDate>false</LinksUpToDate>
  <CharactersWithSpaces>1826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2024-11-04T03:08:00Z</dcterms:created>
  <dc:creator>小铃铛</dc:creator>
  <cp:lastModifiedBy>小铃铛</cp:lastModifiedBy>
  <dcterms:modified xsi:type="dcterms:W3CDTF">2024-11-04T06:55:15Z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3E77373EFD0B45B088448AC80905F253_11</vt:lpwstr>
  </property>
</Properties>
</file>