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DA6DD">
      <w:pPr>
        <w:spacing w:line="360" w:lineRule="auto"/>
        <w:jc w:val="center"/>
        <w:rPr>
          <w:rFonts w:hint="eastAsia" w:eastAsia="宋体"/>
          <w:b/>
          <w:bCs/>
          <w:sz w:val="44"/>
          <w:szCs w:val="44"/>
          <w:lang w:val="en-US" w:eastAsia="zh-CN"/>
        </w:rPr>
      </w:pPr>
      <w:r>
        <w:rPr>
          <w:rFonts w:hint="eastAsia"/>
          <w:b/>
          <w:bCs/>
          <w:sz w:val="44"/>
          <w:szCs w:val="44"/>
        </w:rPr>
        <w:t>报价单</w:t>
      </w:r>
    </w:p>
    <w:p w14:paraId="491AE265">
      <w:pPr>
        <w:spacing w:line="360" w:lineRule="auto"/>
        <w:jc w:val="both"/>
        <w:rPr>
          <w:rFonts w:hint="default" w:eastAsia="宋体"/>
          <w:b/>
          <w:bCs/>
          <w:color w:val="auto"/>
          <w:sz w:val="24"/>
          <w:lang w:val="en-US" w:eastAsia="zh-CN"/>
        </w:rPr>
      </w:pPr>
      <w:r>
        <w:rPr>
          <w:rFonts w:hint="eastAsia"/>
          <w:b/>
          <w:bCs/>
          <w:color w:val="auto"/>
          <w:sz w:val="24"/>
          <w:lang w:val="en-US" w:eastAsia="zh-CN"/>
        </w:rPr>
        <w:t>项目：手术器械一批</w:t>
      </w:r>
    </w:p>
    <w:tbl>
      <w:tblPr>
        <w:tblStyle w:val="1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30"/>
        <w:gridCol w:w="1600"/>
        <w:gridCol w:w="1620"/>
        <w:gridCol w:w="1529"/>
        <w:gridCol w:w="1593"/>
      </w:tblGrid>
      <w:tr w14:paraId="36A6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0A5A2AEA">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530" w:type="dxa"/>
            <w:noWrap w:val="0"/>
            <w:vAlign w:val="top"/>
          </w:tcPr>
          <w:p w14:paraId="5A077F11">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设备名称</w:t>
            </w:r>
          </w:p>
        </w:tc>
        <w:tc>
          <w:tcPr>
            <w:tcW w:w="1600" w:type="dxa"/>
            <w:noWrap w:val="0"/>
            <w:vAlign w:val="top"/>
          </w:tcPr>
          <w:p w14:paraId="728E0F24">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制造商/品牌</w:t>
            </w:r>
          </w:p>
        </w:tc>
        <w:tc>
          <w:tcPr>
            <w:tcW w:w="1620" w:type="dxa"/>
            <w:noWrap w:val="0"/>
            <w:vAlign w:val="top"/>
          </w:tcPr>
          <w:p w14:paraId="3BBB11C3">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型号/规格</w:t>
            </w:r>
          </w:p>
        </w:tc>
        <w:tc>
          <w:tcPr>
            <w:tcW w:w="1529" w:type="dxa"/>
            <w:noWrap w:val="0"/>
            <w:vAlign w:val="top"/>
          </w:tcPr>
          <w:p w14:paraId="6F18D4A7">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产地</w:t>
            </w:r>
          </w:p>
        </w:tc>
        <w:tc>
          <w:tcPr>
            <w:tcW w:w="1593" w:type="dxa"/>
            <w:noWrap w:val="0"/>
            <w:vAlign w:val="top"/>
          </w:tcPr>
          <w:p w14:paraId="45265CA3">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单价（元/个）</w:t>
            </w:r>
          </w:p>
        </w:tc>
      </w:tr>
      <w:tr w14:paraId="7796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533267A2">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530" w:type="dxa"/>
            <w:noWrap w:val="0"/>
            <w:vAlign w:val="top"/>
          </w:tcPr>
          <w:p w14:paraId="18354AF9">
            <w:pPr>
              <w:spacing w:line="440" w:lineRule="exact"/>
              <w:jc w:val="center"/>
              <w:rPr>
                <w:rFonts w:hint="eastAsia"/>
                <w:lang w:val="en-US" w:eastAsia="zh-CN"/>
              </w:rPr>
            </w:pPr>
          </w:p>
        </w:tc>
        <w:tc>
          <w:tcPr>
            <w:tcW w:w="1600" w:type="dxa"/>
            <w:noWrap w:val="0"/>
            <w:vAlign w:val="top"/>
          </w:tcPr>
          <w:p w14:paraId="24758930">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1AC71935">
            <w:pPr>
              <w:spacing w:line="440" w:lineRule="exact"/>
              <w:jc w:val="center"/>
              <w:rPr>
                <w:rFonts w:hint="eastAsia" w:ascii="仿宋" w:hAnsi="仿宋" w:eastAsia="仿宋" w:cs="仿宋"/>
                <w:color w:val="000000"/>
                <w:sz w:val="24"/>
                <w:highlight w:val="none"/>
                <w:lang w:val="en-US" w:eastAsia="zh-CN"/>
              </w:rPr>
            </w:pPr>
          </w:p>
        </w:tc>
        <w:tc>
          <w:tcPr>
            <w:tcW w:w="1529" w:type="dxa"/>
            <w:noWrap w:val="0"/>
            <w:vAlign w:val="top"/>
          </w:tcPr>
          <w:p w14:paraId="25B8FDAE">
            <w:pPr>
              <w:spacing w:line="440" w:lineRule="exact"/>
              <w:jc w:val="center"/>
              <w:rPr>
                <w:rFonts w:hint="eastAsia" w:ascii="仿宋" w:hAnsi="仿宋" w:eastAsia="仿宋" w:cs="仿宋"/>
                <w:color w:val="000000"/>
                <w:sz w:val="24"/>
                <w:highlight w:val="none"/>
                <w:lang w:val="en-US" w:eastAsia="zh-CN"/>
              </w:rPr>
            </w:pPr>
          </w:p>
        </w:tc>
        <w:tc>
          <w:tcPr>
            <w:tcW w:w="1593" w:type="dxa"/>
            <w:noWrap w:val="0"/>
            <w:vAlign w:val="top"/>
          </w:tcPr>
          <w:p w14:paraId="36E6E4B0">
            <w:pPr>
              <w:spacing w:line="440" w:lineRule="exact"/>
              <w:jc w:val="center"/>
              <w:rPr>
                <w:rFonts w:hint="eastAsia" w:ascii="仿宋" w:hAnsi="仿宋" w:eastAsia="仿宋" w:cs="仿宋"/>
                <w:color w:val="000000"/>
                <w:sz w:val="24"/>
                <w:highlight w:val="none"/>
                <w:lang w:val="en-US" w:eastAsia="zh-CN"/>
              </w:rPr>
            </w:pPr>
            <w:bookmarkStart w:id="0" w:name="_GoBack"/>
            <w:bookmarkEnd w:id="0"/>
          </w:p>
        </w:tc>
      </w:tr>
      <w:tr w14:paraId="0EE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08236E02">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1530" w:type="dxa"/>
            <w:noWrap w:val="0"/>
            <w:vAlign w:val="top"/>
          </w:tcPr>
          <w:p w14:paraId="029257A8">
            <w:pPr>
              <w:spacing w:line="440" w:lineRule="exact"/>
              <w:jc w:val="center"/>
              <w:rPr>
                <w:rFonts w:hint="eastAsia" w:ascii="宋体" w:hAnsi="宋体" w:cs="宋体"/>
                <w:szCs w:val="21"/>
                <w:lang w:val="en-US" w:eastAsia="zh-CN"/>
              </w:rPr>
            </w:pPr>
          </w:p>
        </w:tc>
        <w:tc>
          <w:tcPr>
            <w:tcW w:w="1600" w:type="dxa"/>
            <w:noWrap w:val="0"/>
            <w:vAlign w:val="top"/>
          </w:tcPr>
          <w:p w14:paraId="57F1A788">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16C94514">
            <w:pPr>
              <w:spacing w:line="440" w:lineRule="exact"/>
              <w:jc w:val="center"/>
              <w:rPr>
                <w:rFonts w:hint="eastAsia" w:ascii="仿宋" w:hAnsi="仿宋" w:eastAsia="仿宋" w:cs="仿宋"/>
                <w:color w:val="000000"/>
                <w:sz w:val="24"/>
                <w:highlight w:val="none"/>
                <w:lang w:val="en-US" w:eastAsia="zh-CN"/>
              </w:rPr>
            </w:pPr>
          </w:p>
        </w:tc>
        <w:tc>
          <w:tcPr>
            <w:tcW w:w="1529" w:type="dxa"/>
            <w:noWrap w:val="0"/>
            <w:vAlign w:val="top"/>
          </w:tcPr>
          <w:p w14:paraId="26DF5880">
            <w:pPr>
              <w:spacing w:line="440" w:lineRule="exact"/>
              <w:jc w:val="center"/>
              <w:rPr>
                <w:rFonts w:hint="eastAsia" w:ascii="仿宋" w:hAnsi="仿宋" w:eastAsia="仿宋" w:cs="仿宋"/>
                <w:color w:val="000000"/>
                <w:sz w:val="24"/>
                <w:highlight w:val="none"/>
                <w:lang w:val="en-US" w:eastAsia="zh-CN"/>
              </w:rPr>
            </w:pPr>
          </w:p>
        </w:tc>
        <w:tc>
          <w:tcPr>
            <w:tcW w:w="1593" w:type="dxa"/>
            <w:noWrap w:val="0"/>
            <w:vAlign w:val="top"/>
          </w:tcPr>
          <w:p w14:paraId="4D12158E">
            <w:pPr>
              <w:spacing w:line="440" w:lineRule="exact"/>
              <w:jc w:val="center"/>
              <w:rPr>
                <w:rFonts w:hint="eastAsia" w:ascii="仿宋" w:hAnsi="仿宋" w:eastAsia="仿宋" w:cs="仿宋"/>
                <w:color w:val="000000"/>
                <w:sz w:val="24"/>
                <w:highlight w:val="none"/>
                <w:lang w:val="en-US" w:eastAsia="zh-CN"/>
              </w:rPr>
            </w:pPr>
          </w:p>
        </w:tc>
      </w:tr>
      <w:tr w14:paraId="4674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61CB9662">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530" w:type="dxa"/>
            <w:noWrap w:val="0"/>
            <w:vAlign w:val="top"/>
          </w:tcPr>
          <w:p w14:paraId="49A266DF">
            <w:pPr>
              <w:spacing w:line="440" w:lineRule="exact"/>
              <w:jc w:val="center"/>
              <w:rPr>
                <w:rFonts w:hint="eastAsia" w:ascii="宋体" w:hAnsi="宋体"/>
                <w:lang w:val="en-US" w:eastAsia="zh-CN"/>
              </w:rPr>
            </w:pPr>
          </w:p>
        </w:tc>
        <w:tc>
          <w:tcPr>
            <w:tcW w:w="1600" w:type="dxa"/>
            <w:noWrap w:val="0"/>
            <w:vAlign w:val="top"/>
          </w:tcPr>
          <w:p w14:paraId="5A274843">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0ADE4735">
            <w:pPr>
              <w:spacing w:line="440" w:lineRule="exact"/>
              <w:jc w:val="center"/>
              <w:rPr>
                <w:rFonts w:hint="eastAsia" w:ascii="仿宋" w:hAnsi="仿宋" w:eastAsia="仿宋" w:cs="仿宋"/>
                <w:color w:val="000000"/>
                <w:sz w:val="24"/>
                <w:highlight w:val="none"/>
                <w:lang w:val="en-US" w:eastAsia="zh-CN"/>
              </w:rPr>
            </w:pPr>
          </w:p>
        </w:tc>
        <w:tc>
          <w:tcPr>
            <w:tcW w:w="1529" w:type="dxa"/>
            <w:noWrap w:val="0"/>
            <w:vAlign w:val="top"/>
          </w:tcPr>
          <w:p w14:paraId="5140D028">
            <w:pPr>
              <w:spacing w:line="440" w:lineRule="exact"/>
              <w:jc w:val="center"/>
              <w:rPr>
                <w:rFonts w:hint="eastAsia" w:ascii="仿宋" w:hAnsi="仿宋" w:eastAsia="仿宋" w:cs="仿宋"/>
                <w:color w:val="000000"/>
                <w:sz w:val="24"/>
                <w:highlight w:val="none"/>
                <w:lang w:val="en-US" w:eastAsia="zh-CN"/>
              </w:rPr>
            </w:pPr>
          </w:p>
        </w:tc>
        <w:tc>
          <w:tcPr>
            <w:tcW w:w="1593" w:type="dxa"/>
            <w:noWrap w:val="0"/>
            <w:vAlign w:val="top"/>
          </w:tcPr>
          <w:p w14:paraId="3728707B">
            <w:pPr>
              <w:spacing w:line="440" w:lineRule="exact"/>
              <w:jc w:val="center"/>
              <w:rPr>
                <w:rFonts w:hint="eastAsia" w:ascii="仿宋" w:hAnsi="仿宋" w:eastAsia="仿宋" w:cs="仿宋"/>
                <w:color w:val="000000"/>
                <w:sz w:val="24"/>
                <w:highlight w:val="none"/>
                <w:lang w:val="en-US" w:eastAsia="zh-CN"/>
              </w:rPr>
            </w:pPr>
          </w:p>
        </w:tc>
      </w:tr>
      <w:tr w14:paraId="0549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68125FD5">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530" w:type="dxa"/>
            <w:noWrap w:val="0"/>
            <w:vAlign w:val="top"/>
          </w:tcPr>
          <w:p w14:paraId="1A6E997A">
            <w:pPr>
              <w:spacing w:line="440" w:lineRule="exact"/>
              <w:jc w:val="center"/>
              <w:rPr>
                <w:rFonts w:hint="eastAsia"/>
                <w:lang w:val="en-US" w:eastAsia="zh-CN"/>
              </w:rPr>
            </w:pPr>
          </w:p>
        </w:tc>
        <w:tc>
          <w:tcPr>
            <w:tcW w:w="1600" w:type="dxa"/>
            <w:noWrap w:val="0"/>
            <w:vAlign w:val="top"/>
          </w:tcPr>
          <w:p w14:paraId="47C2F4E3">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3EB485CE">
            <w:pPr>
              <w:spacing w:line="440" w:lineRule="exact"/>
              <w:jc w:val="center"/>
              <w:rPr>
                <w:rFonts w:hint="eastAsia" w:ascii="仿宋" w:hAnsi="仿宋" w:eastAsia="仿宋" w:cs="仿宋"/>
                <w:color w:val="000000"/>
                <w:sz w:val="24"/>
                <w:highlight w:val="none"/>
                <w:lang w:val="en-US" w:eastAsia="zh-CN"/>
              </w:rPr>
            </w:pPr>
          </w:p>
        </w:tc>
        <w:tc>
          <w:tcPr>
            <w:tcW w:w="1529" w:type="dxa"/>
            <w:noWrap w:val="0"/>
            <w:vAlign w:val="top"/>
          </w:tcPr>
          <w:p w14:paraId="2324BE2B">
            <w:pPr>
              <w:spacing w:line="440" w:lineRule="exact"/>
              <w:jc w:val="center"/>
              <w:rPr>
                <w:rFonts w:hint="eastAsia" w:ascii="仿宋" w:hAnsi="仿宋" w:eastAsia="仿宋" w:cs="仿宋"/>
                <w:color w:val="000000"/>
                <w:sz w:val="24"/>
                <w:highlight w:val="none"/>
                <w:lang w:val="en-US" w:eastAsia="zh-CN"/>
              </w:rPr>
            </w:pPr>
          </w:p>
        </w:tc>
        <w:tc>
          <w:tcPr>
            <w:tcW w:w="1593" w:type="dxa"/>
            <w:noWrap w:val="0"/>
            <w:vAlign w:val="top"/>
          </w:tcPr>
          <w:p w14:paraId="61328480">
            <w:pPr>
              <w:spacing w:line="440" w:lineRule="exact"/>
              <w:jc w:val="center"/>
              <w:rPr>
                <w:rFonts w:hint="eastAsia" w:ascii="仿宋" w:hAnsi="仿宋" w:eastAsia="仿宋" w:cs="仿宋"/>
                <w:color w:val="000000"/>
                <w:sz w:val="24"/>
                <w:highlight w:val="none"/>
                <w:lang w:val="en-US" w:eastAsia="zh-CN"/>
              </w:rPr>
            </w:pPr>
          </w:p>
        </w:tc>
      </w:tr>
      <w:tr w14:paraId="7A30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7B159F58">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1530" w:type="dxa"/>
            <w:noWrap w:val="0"/>
            <w:vAlign w:val="top"/>
          </w:tcPr>
          <w:p w14:paraId="60BB379D">
            <w:pPr>
              <w:spacing w:line="440" w:lineRule="exact"/>
              <w:jc w:val="center"/>
              <w:rPr>
                <w:rFonts w:hint="eastAsia"/>
                <w:lang w:val="en-US" w:eastAsia="zh-CN"/>
              </w:rPr>
            </w:pPr>
          </w:p>
        </w:tc>
        <w:tc>
          <w:tcPr>
            <w:tcW w:w="1600" w:type="dxa"/>
            <w:noWrap w:val="0"/>
            <w:vAlign w:val="top"/>
          </w:tcPr>
          <w:p w14:paraId="0A1946EC">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12878948">
            <w:pPr>
              <w:spacing w:line="440" w:lineRule="exact"/>
              <w:jc w:val="center"/>
              <w:rPr>
                <w:rFonts w:hint="eastAsia" w:ascii="仿宋" w:hAnsi="仿宋" w:eastAsia="仿宋" w:cs="仿宋"/>
                <w:color w:val="000000"/>
                <w:sz w:val="24"/>
                <w:highlight w:val="none"/>
                <w:lang w:val="en-US" w:eastAsia="zh-CN"/>
              </w:rPr>
            </w:pPr>
          </w:p>
        </w:tc>
        <w:tc>
          <w:tcPr>
            <w:tcW w:w="1529" w:type="dxa"/>
            <w:noWrap w:val="0"/>
            <w:vAlign w:val="top"/>
          </w:tcPr>
          <w:p w14:paraId="618F03F1">
            <w:pPr>
              <w:spacing w:line="440" w:lineRule="exact"/>
              <w:jc w:val="center"/>
              <w:rPr>
                <w:rFonts w:hint="eastAsia" w:ascii="仿宋" w:hAnsi="仿宋" w:eastAsia="仿宋" w:cs="仿宋"/>
                <w:color w:val="000000"/>
                <w:sz w:val="24"/>
                <w:highlight w:val="none"/>
                <w:lang w:val="en-US" w:eastAsia="zh-CN"/>
              </w:rPr>
            </w:pPr>
          </w:p>
        </w:tc>
        <w:tc>
          <w:tcPr>
            <w:tcW w:w="1593" w:type="dxa"/>
            <w:noWrap w:val="0"/>
            <w:vAlign w:val="top"/>
          </w:tcPr>
          <w:p w14:paraId="5EBADBA8">
            <w:pPr>
              <w:spacing w:line="440" w:lineRule="exact"/>
              <w:jc w:val="center"/>
              <w:rPr>
                <w:rFonts w:hint="eastAsia" w:ascii="仿宋" w:hAnsi="仿宋" w:eastAsia="仿宋" w:cs="仿宋"/>
                <w:color w:val="000000"/>
                <w:sz w:val="24"/>
                <w:highlight w:val="none"/>
                <w:lang w:val="en-US" w:eastAsia="zh-CN"/>
              </w:rPr>
            </w:pPr>
          </w:p>
        </w:tc>
      </w:tr>
      <w:tr w14:paraId="2C2F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2FDB972F">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1530" w:type="dxa"/>
            <w:noWrap w:val="0"/>
            <w:vAlign w:val="top"/>
          </w:tcPr>
          <w:p w14:paraId="6403AC1C">
            <w:pPr>
              <w:spacing w:line="440" w:lineRule="exact"/>
              <w:jc w:val="center"/>
              <w:rPr>
                <w:rFonts w:hint="eastAsia" w:ascii="宋体" w:hAnsi="宋体" w:eastAsia="宋体" w:cs="宋体"/>
                <w:szCs w:val="21"/>
                <w:lang w:val="en-US" w:eastAsia="zh-CN"/>
              </w:rPr>
            </w:pPr>
          </w:p>
        </w:tc>
        <w:tc>
          <w:tcPr>
            <w:tcW w:w="1600" w:type="dxa"/>
            <w:noWrap w:val="0"/>
            <w:vAlign w:val="top"/>
          </w:tcPr>
          <w:p w14:paraId="53DA847B">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53668DB6">
            <w:pPr>
              <w:spacing w:line="440" w:lineRule="exact"/>
              <w:jc w:val="center"/>
              <w:rPr>
                <w:rFonts w:hint="eastAsia" w:ascii="仿宋" w:hAnsi="仿宋" w:eastAsia="仿宋" w:cs="仿宋"/>
                <w:color w:val="000000"/>
                <w:sz w:val="24"/>
                <w:highlight w:val="none"/>
                <w:lang w:val="en-US" w:eastAsia="zh-CN"/>
              </w:rPr>
            </w:pPr>
          </w:p>
        </w:tc>
        <w:tc>
          <w:tcPr>
            <w:tcW w:w="1529" w:type="dxa"/>
            <w:noWrap w:val="0"/>
            <w:vAlign w:val="top"/>
          </w:tcPr>
          <w:p w14:paraId="2C9EAECD">
            <w:pPr>
              <w:spacing w:line="440" w:lineRule="exact"/>
              <w:jc w:val="center"/>
              <w:rPr>
                <w:rFonts w:hint="eastAsia" w:ascii="仿宋" w:hAnsi="仿宋" w:eastAsia="仿宋" w:cs="仿宋"/>
                <w:color w:val="000000"/>
                <w:sz w:val="24"/>
                <w:highlight w:val="none"/>
                <w:lang w:val="en-US" w:eastAsia="zh-CN"/>
              </w:rPr>
            </w:pPr>
          </w:p>
        </w:tc>
        <w:tc>
          <w:tcPr>
            <w:tcW w:w="1593" w:type="dxa"/>
            <w:noWrap w:val="0"/>
            <w:vAlign w:val="top"/>
          </w:tcPr>
          <w:p w14:paraId="7ED857C1">
            <w:pPr>
              <w:spacing w:line="440" w:lineRule="exact"/>
              <w:jc w:val="center"/>
              <w:rPr>
                <w:rFonts w:hint="eastAsia" w:ascii="仿宋" w:hAnsi="仿宋" w:eastAsia="仿宋" w:cs="仿宋"/>
                <w:color w:val="000000"/>
                <w:sz w:val="24"/>
                <w:highlight w:val="none"/>
                <w:lang w:val="en-US" w:eastAsia="zh-CN"/>
              </w:rPr>
            </w:pPr>
          </w:p>
        </w:tc>
      </w:tr>
      <w:tr w14:paraId="2261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2C196A73">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1530" w:type="dxa"/>
            <w:noWrap w:val="0"/>
            <w:vAlign w:val="top"/>
          </w:tcPr>
          <w:p w14:paraId="369ED4CA">
            <w:pPr>
              <w:spacing w:line="440" w:lineRule="exact"/>
              <w:jc w:val="center"/>
              <w:rPr>
                <w:rFonts w:hint="eastAsia" w:ascii="宋体" w:hAnsi="宋体" w:cs="宋体"/>
                <w:szCs w:val="21"/>
                <w:lang w:val="en-US" w:eastAsia="zh-CN"/>
              </w:rPr>
            </w:pPr>
          </w:p>
        </w:tc>
        <w:tc>
          <w:tcPr>
            <w:tcW w:w="1600" w:type="dxa"/>
            <w:noWrap w:val="0"/>
            <w:vAlign w:val="top"/>
          </w:tcPr>
          <w:p w14:paraId="0DAAB29C">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3E699A03">
            <w:pPr>
              <w:spacing w:line="440" w:lineRule="exact"/>
              <w:jc w:val="center"/>
              <w:rPr>
                <w:rFonts w:hint="eastAsia" w:ascii="仿宋" w:hAnsi="仿宋" w:eastAsia="仿宋" w:cs="仿宋"/>
                <w:color w:val="000000"/>
                <w:sz w:val="24"/>
                <w:highlight w:val="none"/>
                <w:lang w:val="en-US" w:eastAsia="zh-CN"/>
              </w:rPr>
            </w:pPr>
          </w:p>
        </w:tc>
        <w:tc>
          <w:tcPr>
            <w:tcW w:w="1529" w:type="dxa"/>
            <w:noWrap w:val="0"/>
            <w:vAlign w:val="top"/>
          </w:tcPr>
          <w:p w14:paraId="57F059E7">
            <w:pPr>
              <w:spacing w:line="440" w:lineRule="exact"/>
              <w:jc w:val="center"/>
              <w:rPr>
                <w:rFonts w:hint="eastAsia" w:ascii="仿宋" w:hAnsi="仿宋" w:eastAsia="仿宋" w:cs="仿宋"/>
                <w:color w:val="000000"/>
                <w:sz w:val="24"/>
                <w:highlight w:val="none"/>
                <w:lang w:val="en-US" w:eastAsia="zh-CN"/>
              </w:rPr>
            </w:pPr>
          </w:p>
        </w:tc>
        <w:tc>
          <w:tcPr>
            <w:tcW w:w="1593" w:type="dxa"/>
            <w:noWrap w:val="0"/>
            <w:vAlign w:val="top"/>
          </w:tcPr>
          <w:p w14:paraId="66A500E5">
            <w:pPr>
              <w:spacing w:line="440" w:lineRule="exact"/>
              <w:jc w:val="center"/>
              <w:rPr>
                <w:rFonts w:hint="eastAsia" w:ascii="仿宋" w:hAnsi="仿宋" w:eastAsia="仿宋" w:cs="仿宋"/>
                <w:color w:val="000000"/>
                <w:sz w:val="24"/>
                <w:highlight w:val="none"/>
                <w:lang w:val="en-US" w:eastAsia="zh-CN"/>
              </w:rPr>
            </w:pPr>
          </w:p>
        </w:tc>
      </w:tr>
      <w:tr w14:paraId="1B4C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20FECDA7">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1530" w:type="dxa"/>
            <w:noWrap w:val="0"/>
            <w:vAlign w:val="top"/>
          </w:tcPr>
          <w:p w14:paraId="04AE4E1D">
            <w:pPr>
              <w:spacing w:line="440" w:lineRule="exact"/>
              <w:jc w:val="center"/>
              <w:rPr>
                <w:rFonts w:hint="eastAsia" w:ascii="宋体" w:hAnsi="宋体" w:cs="宋体"/>
                <w:szCs w:val="21"/>
                <w:lang w:val="en-US" w:eastAsia="zh-CN"/>
              </w:rPr>
            </w:pPr>
          </w:p>
        </w:tc>
        <w:tc>
          <w:tcPr>
            <w:tcW w:w="1600" w:type="dxa"/>
            <w:noWrap w:val="0"/>
            <w:vAlign w:val="top"/>
          </w:tcPr>
          <w:p w14:paraId="3EFE4792">
            <w:pPr>
              <w:spacing w:line="440" w:lineRule="exact"/>
              <w:jc w:val="center"/>
              <w:rPr>
                <w:rFonts w:hint="eastAsia" w:ascii="仿宋" w:hAnsi="仿宋" w:eastAsia="仿宋" w:cs="仿宋"/>
                <w:color w:val="000000"/>
                <w:sz w:val="24"/>
                <w:highlight w:val="none"/>
                <w:lang w:val="en-US" w:eastAsia="zh-CN"/>
              </w:rPr>
            </w:pPr>
          </w:p>
        </w:tc>
        <w:tc>
          <w:tcPr>
            <w:tcW w:w="1620" w:type="dxa"/>
            <w:noWrap w:val="0"/>
            <w:vAlign w:val="top"/>
          </w:tcPr>
          <w:p w14:paraId="16219E38">
            <w:pPr>
              <w:spacing w:line="440" w:lineRule="exact"/>
              <w:jc w:val="center"/>
              <w:rPr>
                <w:rFonts w:hint="eastAsia" w:ascii="仿宋" w:hAnsi="仿宋" w:eastAsia="仿宋" w:cs="仿宋"/>
                <w:color w:val="000000"/>
                <w:sz w:val="24"/>
                <w:highlight w:val="none"/>
                <w:lang w:val="en-US" w:eastAsia="zh-CN"/>
              </w:rPr>
            </w:pPr>
          </w:p>
        </w:tc>
        <w:tc>
          <w:tcPr>
            <w:tcW w:w="1529" w:type="dxa"/>
            <w:noWrap w:val="0"/>
            <w:vAlign w:val="top"/>
          </w:tcPr>
          <w:p w14:paraId="449B8F5E">
            <w:pPr>
              <w:spacing w:line="440" w:lineRule="exact"/>
              <w:jc w:val="center"/>
              <w:rPr>
                <w:rFonts w:hint="eastAsia" w:ascii="仿宋" w:hAnsi="仿宋" w:eastAsia="仿宋" w:cs="仿宋"/>
                <w:color w:val="000000"/>
                <w:sz w:val="24"/>
                <w:highlight w:val="none"/>
                <w:lang w:val="en-US" w:eastAsia="zh-CN"/>
              </w:rPr>
            </w:pPr>
          </w:p>
        </w:tc>
        <w:tc>
          <w:tcPr>
            <w:tcW w:w="1593" w:type="dxa"/>
            <w:noWrap w:val="0"/>
            <w:vAlign w:val="top"/>
          </w:tcPr>
          <w:p w14:paraId="12DE80E0">
            <w:pPr>
              <w:spacing w:line="440" w:lineRule="exact"/>
              <w:jc w:val="center"/>
              <w:rPr>
                <w:rFonts w:hint="eastAsia" w:ascii="仿宋" w:hAnsi="仿宋" w:eastAsia="仿宋" w:cs="仿宋"/>
                <w:color w:val="000000"/>
                <w:sz w:val="24"/>
                <w:highlight w:val="none"/>
                <w:lang w:val="en-US" w:eastAsia="zh-CN"/>
              </w:rPr>
            </w:pPr>
          </w:p>
        </w:tc>
      </w:tr>
    </w:tbl>
    <w:p w14:paraId="4C6ED5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E3A79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86530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52649F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DD6C5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6798D2B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6F163B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45746F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84F512A">
      <w:pPr>
        <w:jc w:val="center"/>
        <w:rPr>
          <w:rFonts w:hint="eastAsia"/>
          <w:b/>
          <w:bCs/>
          <w:color w:val="auto"/>
          <w:sz w:val="28"/>
          <w:szCs w:val="28"/>
          <w:lang w:val="en-US" w:eastAsia="zh-CN"/>
        </w:rPr>
      </w:pPr>
    </w:p>
    <w:p w14:paraId="6C9157E7">
      <w:pPr>
        <w:spacing w:line="440" w:lineRule="exact"/>
        <w:rPr>
          <w:rFonts w:hint="eastAsia"/>
          <w:b/>
          <w:bCs/>
          <w:color w:val="0000FF"/>
          <w:sz w:val="21"/>
          <w:szCs w:val="21"/>
        </w:rPr>
      </w:pPr>
      <w:r>
        <w:rPr>
          <w:rFonts w:hint="eastAsia"/>
          <w:b/>
          <w:bCs/>
          <w:color w:val="0000FF"/>
          <w:sz w:val="21"/>
          <w:szCs w:val="21"/>
        </w:rPr>
        <w:t>报价供应商须同时提供以下资料：</w:t>
      </w:r>
    </w:p>
    <w:p w14:paraId="6461A6CB">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lang w:eastAsia="zh-CN"/>
        </w:rPr>
        <w:t>。</w:t>
      </w:r>
    </w:p>
    <w:p w14:paraId="495F9269">
      <w:pPr>
        <w:numPr>
          <w:ilvl w:val="0"/>
          <w:numId w:val="1"/>
        </w:numPr>
        <w:spacing w:line="440" w:lineRule="exact"/>
        <w:rPr>
          <w:rFonts w:hint="eastAsia"/>
          <w:b/>
          <w:bCs/>
          <w:color w:val="0000FF"/>
          <w:sz w:val="21"/>
          <w:szCs w:val="21"/>
        </w:rPr>
      </w:pPr>
      <w:r>
        <w:rPr>
          <w:rFonts w:hint="eastAsia"/>
          <w:b/>
          <w:bCs/>
          <w:color w:val="0000FF"/>
          <w:sz w:val="21"/>
          <w:szCs w:val="21"/>
        </w:rPr>
        <w:t>产品参数、医疗器械注册证</w:t>
      </w:r>
      <w:r>
        <w:rPr>
          <w:rFonts w:hint="eastAsia"/>
          <w:b/>
          <w:bCs/>
          <w:color w:val="0000FF"/>
          <w:sz w:val="21"/>
          <w:szCs w:val="21"/>
          <w:lang w:eastAsia="zh-CN"/>
        </w:rPr>
        <w:t>。</w:t>
      </w:r>
    </w:p>
    <w:p w14:paraId="031E72E4">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566CA9F2">
      <w:pPr>
        <w:tabs>
          <w:tab w:val="left" w:pos="720"/>
        </w:tabs>
        <w:spacing w:line="340" w:lineRule="exact"/>
        <w:jc w:val="left"/>
        <w:rPr>
          <w:rFonts w:ascii="宋体" w:hAnsi="宋体"/>
          <w:b/>
          <w:bCs/>
          <w:sz w:val="30"/>
          <w:szCs w:val="30"/>
        </w:rPr>
      </w:pPr>
    </w:p>
    <w:p w14:paraId="2986CC6D">
      <w:pPr>
        <w:spacing w:line="440" w:lineRule="exact"/>
        <w:rPr>
          <w:rFonts w:ascii="宋体" w:hAnsi="宋体"/>
          <w:sz w:val="24"/>
        </w:rPr>
      </w:pPr>
    </w:p>
    <w:p w14:paraId="6F2FD0AA">
      <w:pPr>
        <w:pStyle w:val="2"/>
        <w:rPr>
          <w:rFonts w:ascii="宋体" w:hAnsi="宋体"/>
          <w:sz w:val="24"/>
        </w:rPr>
      </w:pPr>
    </w:p>
    <w:p w14:paraId="5EB12CD9">
      <w:pPr>
        <w:rPr>
          <w:rFonts w:ascii="宋体" w:hAnsi="宋体"/>
          <w:sz w:val="24"/>
        </w:rPr>
      </w:pPr>
    </w:p>
    <w:p w14:paraId="0B29DD1B">
      <w:pPr>
        <w:pStyle w:val="2"/>
        <w:rPr>
          <w:rFonts w:ascii="宋体" w:hAnsi="宋体"/>
          <w:sz w:val="24"/>
        </w:rPr>
      </w:pPr>
    </w:p>
    <w:p w14:paraId="51B3A28B">
      <w:pPr>
        <w:rPr>
          <w:rFonts w:ascii="宋体" w:hAnsi="宋体"/>
          <w:sz w:val="24"/>
        </w:rPr>
      </w:pPr>
    </w:p>
    <w:p w14:paraId="32AC4403">
      <w:pPr>
        <w:pStyle w:val="2"/>
        <w:rPr>
          <w:rFonts w:ascii="宋体" w:hAnsi="宋体"/>
          <w:sz w:val="24"/>
        </w:rPr>
      </w:pPr>
    </w:p>
    <w:p w14:paraId="39C21A2B">
      <w:pPr>
        <w:rPr>
          <w:rFonts w:ascii="宋体" w:hAnsi="宋体"/>
          <w:sz w:val="24"/>
        </w:rPr>
      </w:pPr>
    </w:p>
    <w:p w14:paraId="3CEDD69A">
      <w:pPr>
        <w:pStyle w:val="2"/>
        <w:rPr>
          <w:rFonts w:ascii="宋体" w:hAnsi="宋体"/>
          <w:sz w:val="24"/>
        </w:rPr>
      </w:pPr>
    </w:p>
    <w:p w14:paraId="5025C49B">
      <w:pPr>
        <w:rPr>
          <w:rFonts w:ascii="宋体" w:hAnsi="宋体"/>
          <w:sz w:val="24"/>
        </w:rPr>
      </w:pPr>
    </w:p>
    <w:p w14:paraId="0B4B7004">
      <w:pPr>
        <w:pStyle w:val="2"/>
        <w:rPr>
          <w:rFonts w:ascii="宋体" w:hAnsi="宋体"/>
          <w:sz w:val="24"/>
        </w:rPr>
      </w:pPr>
    </w:p>
    <w:p w14:paraId="28281D3C">
      <w:pPr>
        <w:rPr>
          <w:rFonts w:ascii="宋体" w:hAnsi="宋体"/>
          <w:sz w:val="24"/>
        </w:rPr>
      </w:pPr>
    </w:p>
    <w:p w14:paraId="618A204D">
      <w:pPr>
        <w:pStyle w:val="2"/>
        <w:rPr>
          <w:rFonts w:ascii="宋体" w:hAnsi="宋体"/>
          <w:sz w:val="24"/>
        </w:rPr>
      </w:pPr>
    </w:p>
    <w:p w14:paraId="654037CD">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78356A8F">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616EC8BD">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DA2B65E">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ABFD46F">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7DA56F25">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4EBF60FF">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26B53145">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0721B770">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5716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14:paraId="29F86C78">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14:paraId="1532C2E6">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14:paraId="6DD16D66">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r>
              <w:rPr>
                <w:rFonts w:hint="eastAsia" w:ascii="仿宋" w:hAnsi="仿宋" w:eastAsia="仿宋" w:cs="仿宋"/>
                <w:color w:val="000000"/>
                <w:sz w:val="24"/>
                <w:lang w:val="en-US" w:eastAsia="zh-CN"/>
              </w:rPr>
              <w:t>批</w:t>
            </w:r>
            <w:r>
              <w:rPr>
                <w:rFonts w:hint="eastAsia" w:ascii="仿宋" w:hAnsi="仿宋" w:eastAsia="仿宋" w:cs="仿宋"/>
                <w:color w:val="000000"/>
                <w:sz w:val="24"/>
              </w:rPr>
              <w:t>）</w:t>
            </w:r>
          </w:p>
        </w:tc>
      </w:tr>
      <w:tr w14:paraId="2107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14:paraId="6BA84BAE">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鼻手术器械</w:t>
            </w:r>
          </w:p>
        </w:tc>
        <w:tc>
          <w:tcPr>
            <w:tcW w:w="2268" w:type="dxa"/>
            <w:noWrap w:val="0"/>
            <w:vAlign w:val="top"/>
          </w:tcPr>
          <w:p w14:paraId="2E9A8E35">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耳鼻喉科</w:t>
            </w:r>
          </w:p>
        </w:tc>
        <w:tc>
          <w:tcPr>
            <w:tcW w:w="2508" w:type="dxa"/>
            <w:noWrap w:val="0"/>
            <w:vAlign w:val="top"/>
          </w:tcPr>
          <w:p w14:paraId="46920F75">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r>
      <w:tr w14:paraId="648D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14:paraId="07349F4B">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耳手术器械</w:t>
            </w:r>
          </w:p>
        </w:tc>
        <w:tc>
          <w:tcPr>
            <w:tcW w:w="2268" w:type="dxa"/>
            <w:noWrap w:val="0"/>
            <w:vAlign w:val="top"/>
          </w:tcPr>
          <w:p w14:paraId="6CA6D450">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耳鼻喉科</w:t>
            </w:r>
          </w:p>
        </w:tc>
        <w:tc>
          <w:tcPr>
            <w:tcW w:w="2508" w:type="dxa"/>
            <w:noWrap w:val="0"/>
            <w:vAlign w:val="top"/>
          </w:tcPr>
          <w:p w14:paraId="0D3F2CCA">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r>
    </w:tbl>
    <w:p w14:paraId="0E1464C1">
      <w:pPr>
        <w:spacing w:line="440" w:lineRule="exact"/>
        <w:rPr>
          <w:rFonts w:ascii="仿宋" w:hAnsi="仿宋" w:eastAsia="仿宋" w:cs="仿宋"/>
          <w:b/>
          <w:color w:val="000000"/>
          <w:sz w:val="24"/>
        </w:rPr>
      </w:pPr>
    </w:p>
    <w:p w14:paraId="22F07538">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p w14:paraId="568DBD80">
      <w:pPr>
        <w:pStyle w:val="2"/>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鼻手术器械参数：</w:t>
      </w:r>
    </w:p>
    <w:tbl>
      <w:tblPr>
        <w:tblStyle w:val="9"/>
        <w:tblW w:w="13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1951"/>
        <w:gridCol w:w="9461"/>
        <w:gridCol w:w="1546"/>
      </w:tblGrid>
      <w:tr w14:paraId="1364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1A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FE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规格要求</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B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采购数量</w:t>
            </w:r>
          </w:p>
        </w:tc>
      </w:tr>
      <w:tr w14:paraId="72D3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8F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3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鼻窦镜</w:t>
            </w:r>
          </w:p>
        </w:tc>
        <w:tc>
          <w:tcPr>
            <w:tcW w:w="9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6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1、视向角：≥70°；2、视场角：≥80°；3、工作长度：≥175mm；4、直径：≥4mm；5、设计光学工作距d0：≥12mm；6、视场中心角分辨力：≥2.6C/(°)；7、有效景深：≥1-50mm；8、有效光度率D</w:t>
            </w:r>
            <w:r>
              <w:rPr>
                <w:rFonts w:hint="eastAsia" w:ascii="仿宋" w:hAnsi="仿宋" w:eastAsia="仿宋" w:cs="仿宋"/>
                <w:i w:val="0"/>
                <w:iCs w:val="0"/>
                <w:color w:val="000000"/>
                <w:kern w:val="0"/>
                <w:sz w:val="24"/>
                <w:szCs w:val="24"/>
                <w:u w:val="none"/>
                <w:lang w:val="en-US" w:eastAsia="zh-CN" w:bidi="ar"/>
              </w:rPr>
              <w:softHyphen/>
            </w:r>
            <w:r>
              <w:rPr>
                <w:rFonts w:hint="eastAsia" w:ascii="仿宋" w:hAnsi="仿宋" w:eastAsia="仿宋" w:cs="仿宋"/>
                <w:i w:val="0"/>
                <w:iCs w:val="0"/>
                <w:color w:val="000000"/>
                <w:kern w:val="0"/>
                <w:sz w:val="24"/>
                <w:szCs w:val="24"/>
                <w:u w:val="none"/>
                <w:lang w:val="en-US" w:eastAsia="zh-CN" w:bidi="ar"/>
              </w:rPr>
              <w:t>M：≥1850cd/m</w:t>
            </w:r>
            <w:r>
              <w:rPr>
                <w:rFonts w:hint="eastAsia" w:ascii="仿宋" w:hAnsi="仿宋" w:eastAsia="仿宋" w:cs="仿宋"/>
                <w:i w:val="0"/>
                <w:iCs w:val="0"/>
                <w:color w:val="000000"/>
                <w:kern w:val="0"/>
                <w:sz w:val="24"/>
                <w:szCs w:val="24"/>
                <w:u w:val="none"/>
                <w:lang w:val="en-US" w:eastAsia="zh-CN" w:bidi="ar"/>
              </w:rPr>
              <w:softHyphen/>
            </w:r>
            <w:r>
              <w:rPr>
                <w:rFonts w:hint="eastAsia" w:ascii="仿宋" w:hAnsi="仿宋" w:eastAsia="仿宋" w:cs="仿宋"/>
                <w:i w:val="0"/>
                <w:iCs w:val="0"/>
                <w:color w:val="000000"/>
                <w:kern w:val="0"/>
                <w:sz w:val="24"/>
                <w:szCs w:val="24"/>
                <w:u w:val="none"/>
                <w:lang w:val="en-US" w:eastAsia="zh-CN" w:bidi="ar"/>
              </w:rPr>
              <w:softHyphen/>
            </w:r>
            <w:r>
              <w:rPr>
                <w:rFonts w:hint="eastAsia" w:ascii="仿宋" w:hAnsi="仿宋" w:eastAsia="仿宋" w:cs="仿宋"/>
                <w:i w:val="0"/>
                <w:iCs w:val="0"/>
                <w:color w:val="000000"/>
                <w:kern w:val="0"/>
                <w:sz w:val="24"/>
                <w:szCs w:val="24"/>
                <w:u w:val="none"/>
                <w:lang w:val="en-US" w:eastAsia="zh-CN" w:bidi="ar"/>
              </w:rPr>
              <w:t>2/lm</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44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133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97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DB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鼻咬切钳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26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尖头，0度，直径≥2mm，工作长度≥130mm，不锈钢材质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2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C1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6E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64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鼻咬切钳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2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尖头，45°直径≥2mm，工作长度≥130mm，不锈钢材质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A7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3B6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A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2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鼻咬切钳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C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30度，推杆式，无固定销,直径≥4mm，工作长度长度≥105mm，不锈钢材质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4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1FA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BA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EA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鼻腔咬骨钳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F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反咬 ，直径≥2.5mm，工作长度≥130mm，不锈钢材质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55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ED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56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EF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鼻组织剪</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C7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直剪，直径≥2mm，工作长度≥130mm，不锈钢材质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82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142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91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E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鼻腔咬骨钳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91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反咬，360°可旋转，直径≥2.5mm，工作长度≥130mm，不锈钢材质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E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90F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2C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4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鼻异物钳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25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圆头，下弯115度，直径≥3.5mm，工作长度≥130mm，不锈钢材质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B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4EA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F6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8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鼻腔组织钳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C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尖头，0度，直径≥3.5mm，工作长度≥130mm，不锈钢材质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3C6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21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4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鼻腔组织钳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B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尖头，30度，直径≥3.5mm，工作长度≥130mm，不锈钢材质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02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2CA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F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6D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鼻腔组织钳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F1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尖头，45度，直径≥3.5mm，工作长度≥130mm，不锈钢材质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8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FC9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20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0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鼻腔组织钳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FC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尖头，90度，直径≥3.5mm，工作长度≥130mm，不锈钢材质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B3F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FE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8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鼻窦组织钳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AE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0°直形,上下开口，直径≥2mm，工作长度≥130mm，不锈钢材质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B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D2F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16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4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鼻腔咬骨钳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D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直径≤4mm，头长≤7mm，工作长度≥165mm，不锈钢材质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63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65F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E9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B8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蝶窦咬骨钳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E7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可360°旋转，90度 ，小号直径≤3.5mm，工作长度≥130mm，不锈钢材质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D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738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22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E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鼻（窦）息肉钳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31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可360°旋转，0度，直径≤4 mm ，工作长度≥140mm,带吸引，不锈钢材质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062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A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DA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蝶窦口扩大钳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9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0度，直径≤3.5 mm，工作长度≥180mm，不锈钢材质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0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D3C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C8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DF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上颌窦探针</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B4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双头,一头直径≤2 mm，一头直径≤1.4 mm,工作长度≥190mm，不锈钢材质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7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3C9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79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0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上颌窦探针</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03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双头,直径≤1.6 mm,工作长度≥210mm，一端带钩，不锈钢材质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B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FF2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0F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7D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鼻腔吸引管</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直径≤4 mm,工作长度≥125mm(方手柄)，头弯带侧孔，不锈钢材质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6D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54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75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7B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鼻腔吸引管</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94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直径≤2.5 mm,工作长度≥125mm(方手柄)，头弯带侧孔，不锈钢材质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8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501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C1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8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鼻腔吸引管</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5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钩状, 直径≤4 mm,工作长度≥140mm(方手柄)，带侧孔，不锈钢材质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7F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BEB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F5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B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鼻腔吸引管</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D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直径≤2.5 mm,工作长度≤125mm(方手柄)，头弯带侧孔，不锈钢材质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7F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BA8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D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0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鼻腔吸引管</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5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直径≤4 mm,工作长度≤125mm(方手柄)，头弯带侧孔，不锈钢材质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3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F3E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C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7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鼻腔吸引管</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1C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直径≤4 mm,工作长度≥175mm，后弯，不锈钢材质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6C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BF0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2D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BD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鼻剥离器</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01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带吸引,直径≤4 mm，工作长度≥90mm，不锈钢材质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C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2C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46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3A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鼻咬切钳</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E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直径≤4mm，头长≤7mm，工作长度≥165mm，不锈钢材质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6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CAD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E6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C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鼻窦手术器械消毒盒</w:t>
            </w:r>
          </w:p>
        </w:tc>
        <w:tc>
          <w:tcPr>
            <w:tcW w:w="9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F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长度≥360mm，宽度≥260mm，高度≥90mmmm，三层，不锈钢材质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35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5FC2B55D">
      <w:pPr>
        <w:rPr>
          <w:rFonts w:hint="eastAsia" w:ascii="仿宋" w:hAnsi="仿宋" w:eastAsia="仿宋" w:cs="仿宋"/>
          <w:sz w:val="24"/>
          <w:szCs w:val="24"/>
          <w:lang w:val="en-US" w:eastAsia="zh-CN"/>
        </w:rPr>
      </w:pPr>
    </w:p>
    <w:p w14:paraId="3764DA0E">
      <w:pPr>
        <w:pStyle w:val="12"/>
        <w:keepNext w:val="0"/>
        <w:keepLines w:val="0"/>
        <w:pageBreakBefore w:val="0"/>
        <w:numPr>
          <w:ilvl w:val="0"/>
          <w:numId w:val="0"/>
        </w:numPr>
        <w:kinsoku/>
        <w:wordWrap/>
        <w:overflowPunct/>
        <w:topLinePunct w:val="0"/>
        <w:autoSpaceDE/>
        <w:autoSpaceDN/>
        <w:bidi w:val="0"/>
        <w:adjustRightInd/>
        <w:snapToGrid/>
        <w:spacing w:line="440" w:lineRule="exact"/>
        <w:ind w:leftChars="0"/>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耳手术器械参数：</w:t>
      </w:r>
    </w:p>
    <w:tbl>
      <w:tblPr>
        <w:tblStyle w:val="9"/>
        <w:tblW w:w="137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1940"/>
        <w:gridCol w:w="9472"/>
        <w:gridCol w:w="1535"/>
      </w:tblGrid>
      <w:tr w14:paraId="3B1E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1E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D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C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8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r>
      <w:tr w14:paraId="173A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3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4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耳内窥镜</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1、视向角：≥0°；2、视场角：≥50° ；3、工作长度：≥105mm；4、直径：≤3mm；5、设计光学工作距d0：≥10mm；6、视场中心角分辨力：≥2.24C/(°)；7、有效景深：≥3-100mm；8、有效光度率D</w:t>
            </w:r>
            <w:r>
              <w:rPr>
                <w:rFonts w:ascii="Arial" w:hAnsi="Arial" w:eastAsia="宋体" w:cs="Arial"/>
                <w:i w:val="0"/>
                <w:iCs w:val="0"/>
                <w:color w:val="000000"/>
                <w:kern w:val="0"/>
                <w:sz w:val="22"/>
                <w:szCs w:val="22"/>
                <w:u w:val="none"/>
                <w:lang w:val="en-US" w:eastAsia="zh-CN" w:bidi="ar"/>
              </w:rPr>
              <w:softHyphen/>
            </w:r>
            <w:r>
              <w:rPr>
                <w:rFonts w:hint="eastAsia" w:ascii="宋体" w:hAnsi="宋体" w:eastAsia="宋体" w:cs="宋体"/>
                <w:i w:val="0"/>
                <w:iCs w:val="0"/>
                <w:color w:val="000000"/>
                <w:kern w:val="0"/>
                <w:sz w:val="22"/>
                <w:szCs w:val="22"/>
                <w:u w:val="none"/>
                <w:lang w:val="en-US" w:eastAsia="zh-CN" w:bidi="ar"/>
              </w:rPr>
              <w:t>M：≥1531cd/m</w:t>
            </w:r>
            <w:r>
              <w:rPr>
                <w:rFonts w:ascii="Arial" w:hAnsi="Arial" w:eastAsia="宋体" w:cs="Arial"/>
                <w:i w:val="0"/>
                <w:iCs w:val="0"/>
                <w:color w:val="000000"/>
                <w:kern w:val="0"/>
                <w:sz w:val="22"/>
                <w:szCs w:val="22"/>
                <w:u w:val="none"/>
                <w:lang w:val="en-US" w:eastAsia="zh-CN" w:bidi="ar"/>
              </w:rPr>
              <w:softHyphen/>
            </w:r>
            <w:r>
              <w:rPr>
                <w:rFonts w:ascii="Arial" w:hAnsi="Arial" w:eastAsia="宋体" w:cs="Arial"/>
                <w:i w:val="0"/>
                <w:iCs w:val="0"/>
                <w:color w:val="000000"/>
                <w:kern w:val="0"/>
                <w:sz w:val="22"/>
                <w:szCs w:val="22"/>
                <w:u w:val="none"/>
                <w:lang w:val="en-US" w:eastAsia="zh-CN" w:bidi="ar"/>
              </w:rPr>
              <w:softHyphen/>
            </w:r>
            <w:r>
              <w:rPr>
                <w:rFonts w:hint="eastAsia" w:ascii="宋体" w:hAnsi="宋体" w:eastAsia="宋体" w:cs="宋体"/>
                <w:i w:val="0"/>
                <w:iCs w:val="0"/>
                <w:color w:val="000000"/>
                <w:kern w:val="0"/>
                <w:sz w:val="22"/>
                <w:szCs w:val="22"/>
                <w:u w:val="none"/>
                <w:lang w:val="en-US" w:eastAsia="zh-CN" w:bidi="ar"/>
              </w:rPr>
              <w:t>2/lm；</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D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D06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16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8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耳内窥镜</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1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1、视向角：≥30°；2、视场角：≥50° ；3、工作长度：≥105mm；4、直径：≤3mm；5、设计光学工作距d0：≥10mm；6、视场中心角分辨力：≥2.24C/(°)；7、有效景深：≥3-100mm；8、有效光度率D</w:t>
            </w:r>
            <w:r>
              <w:rPr>
                <w:rFonts w:ascii="Arial" w:hAnsi="Arial" w:eastAsia="宋体" w:cs="Arial"/>
                <w:i w:val="0"/>
                <w:iCs w:val="0"/>
                <w:color w:val="000000"/>
                <w:kern w:val="0"/>
                <w:sz w:val="22"/>
                <w:szCs w:val="22"/>
                <w:u w:val="none"/>
                <w:lang w:val="en-US" w:eastAsia="zh-CN" w:bidi="ar"/>
              </w:rPr>
              <w:softHyphen/>
            </w:r>
            <w:r>
              <w:rPr>
                <w:rFonts w:hint="eastAsia" w:ascii="宋体" w:hAnsi="宋体" w:eastAsia="宋体" w:cs="宋体"/>
                <w:i w:val="0"/>
                <w:iCs w:val="0"/>
                <w:color w:val="000000"/>
                <w:kern w:val="0"/>
                <w:sz w:val="22"/>
                <w:szCs w:val="22"/>
                <w:u w:val="none"/>
                <w:lang w:val="en-US" w:eastAsia="zh-CN" w:bidi="ar"/>
              </w:rPr>
              <w:t>M：≥1531cd/m</w:t>
            </w:r>
            <w:r>
              <w:rPr>
                <w:rFonts w:ascii="Arial" w:hAnsi="Arial" w:eastAsia="宋体" w:cs="Arial"/>
                <w:i w:val="0"/>
                <w:iCs w:val="0"/>
                <w:color w:val="000000"/>
                <w:kern w:val="0"/>
                <w:sz w:val="22"/>
                <w:szCs w:val="22"/>
                <w:u w:val="none"/>
                <w:lang w:val="en-US" w:eastAsia="zh-CN" w:bidi="ar"/>
              </w:rPr>
              <w:softHyphen/>
            </w:r>
            <w:r>
              <w:rPr>
                <w:rFonts w:ascii="Arial" w:hAnsi="Arial" w:eastAsia="宋体" w:cs="Arial"/>
                <w:i w:val="0"/>
                <w:iCs w:val="0"/>
                <w:color w:val="000000"/>
                <w:kern w:val="0"/>
                <w:sz w:val="22"/>
                <w:szCs w:val="22"/>
                <w:u w:val="none"/>
                <w:lang w:val="en-US" w:eastAsia="zh-CN" w:bidi="ar"/>
              </w:rPr>
              <w:softHyphen/>
            </w:r>
            <w:r>
              <w:rPr>
                <w:rFonts w:hint="eastAsia" w:ascii="宋体" w:hAnsi="宋体" w:eastAsia="宋体" w:cs="宋体"/>
                <w:i w:val="0"/>
                <w:iCs w:val="0"/>
                <w:color w:val="000000"/>
                <w:kern w:val="0"/>
                <w:sz w:val="22"/>
                <w:szCs w:val="22"/>
                <w:u w:val="none"/>
                <w:lang w:val="en-US" w:eastAsia="zh-CN" w:bidi="ar"/>
              </w:rPr>
              <w:t>2/lm；</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B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92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E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C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耳用探针</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3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 尖头，工作长度≥70mm，不锈钢材质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0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15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6D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6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刮匙</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F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卵圆口微弯,头部长度≤1.5mm,头部宽度≤1.2mm，不锈钢材质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1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2E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3A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2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刮匙</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2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卵圆口微弯,头部长度≤2.2mm,头部宽度≤1.8mm，不锈钢材质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5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DB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FC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6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显微剥离器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0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微弯 ，头部宽度≤3mm，工作长度≥70mm，不锈钢材质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A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C0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CF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4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显微剥离器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C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 ，头部宽度≤1.8mm，工作长度≥70mm，不锈钢材质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7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22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54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A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A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弯型，直径≤3.5mm,长度≥85mm(带手柄)，不锈钢材质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9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F64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D5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D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弯型，直径≤5mm,长度≥85mm(带手柄)，不锈钢材质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2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FB2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23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F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F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微弯型，直径≤2mm,长度≥90mm(带手柄)，不锈钢材质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3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0A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8E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E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A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弯型，直径≤3mm,长度≥85mm，带减压阀，不锈钢材质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C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8A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8B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E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6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弯型，直径≤1.5mm,长度≥85mm，带减压阀，不锈钢材质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6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89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9B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E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弯型，直径≤0.8mm,长度≥85mm带减压阀，不锈钢材质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5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5F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FA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8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刮匙</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6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卵圆口微弯 ，双头，一头直径≥0.9mm，一头直径≥1.2mm ，工作长度≥70mm，不锈钢材质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E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B5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4D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7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刮匙</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卵圆口微弯 ，双头，一头直径≥2.5mm，一头直径≥2.8mm ，工作长度≥70mm，不锈钢材质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1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EA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D6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A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显微刀</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5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镰状头，工作长度≥70mm，PVD黑金涂层处理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E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FB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8F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1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显微刀</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三角头，工作长度≥70mm，PVD黑金涂层处理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B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BE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65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9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耳用探针</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C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头端直径≤0.5mm， 用于耳蜗电极筋膜填补，工作长度≥70mm，PVD黑金涂层处理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5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EF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0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1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耳用探针</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6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25度弯型探针，工作长度≥70mm，PVD黑金涂层处理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16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43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F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显微刀</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A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直切0度，直径≥2mm，工作长度≥70mm，PVD黑金涂层处理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3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6E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9F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2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显微刀</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3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45度，直径≥2mm，工作长度≥70mm，PVD黑金涂层处理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8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4D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4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0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显微刀</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1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90度，直径≥2mm，工作长度≥70mm，PVD黑金涂层处理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5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24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D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D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显微耳钩</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0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90度，头部长度≥0.6mm，工作长度≥70mm，PVD黑金涂层处理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A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F6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34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8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显微耳钩</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8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90度，头部长度≥1.5mm，工作长度≥70mm，PVD黑金涂层处理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C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82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0C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4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耳用探针</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0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 ，尖头，工作长度≥70mm，PVD黑金涂层处理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1E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9A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8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显微耳钩</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8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45度，头部长度≤1.2mm，工作长度≥70mm，PVD黑金涂层处理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F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2B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89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8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刮匙</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6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卵圆口微弯,头部长度≤1.5mm,头部宽度≤1.2mm，不锈钢材质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6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EA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AC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E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刮匙</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2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卵圆口微弯,头部长度≤2.2mm,头部宽度≤1.8mm，不锈钢材质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B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49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EB0C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1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显微剥离器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4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微弯 ，头部宽度≤2mm，工作长度≥70mm，PVD黑金涂层处理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4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2A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D819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6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显微剥离器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F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平凿子，直径≥2mm，工作长度≥70mm，PVD黑金涂层处理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1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32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FE42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D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显微剥离器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6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圆凿子，直径≥2mm，工作长度≥70mm，PVD黑金涂层处理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6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01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6D57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7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乳突器械敲击锤</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B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小号,一头直径≥15mm, 一头直径≥50mm，不锈钢材质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4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E8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E7E5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E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中耳息肉钳</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A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麦粒头，头长≥5mm，工作长度≥80mm，PVD黑金涂层处理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5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6E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B8F1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1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中耳息肉钳</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8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麦粒头，上翘30度，头长≥5mm，工作长度≥80mm，PVD黑金涂层处理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9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61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DAF4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A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中耳息肉钳</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B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杯形头, 上翘45度，头部直径≥1.5mm，工作长度≥80mm，PVD黑金涂层处理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B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F1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B281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3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中耳息肉钳</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C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杯形头，0度，头部直径≥1.2mm，工作长度≥80mm，PVD黑金涂层处理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4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56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CCA2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3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中耳息肉剪</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A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直形，头长≥5mm，工作长度≥80mm，PVD黑金涂层处理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3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71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8F4C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9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槌骨剪</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9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头长≥1mm，工作长度≥80mm，PVD黑金涂层处理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5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6B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8B1D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D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微弯，直径≤2mm，长度≥85mm，PVD黑金涂层处理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6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9D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161B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5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B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弯，带减压阀，直径≤2.5mm，工作长度≥85mm，PVD黑金涂层处理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F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D3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CC83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F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B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弯，带减压阀，直径≤1.5mm，工作长度≥85mm，PVD黑金涂层处理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5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19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05FF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B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8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弯，带减压阀，直径≤1.8mm，工作长度≥85mm，PVD黑金涂层处理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0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C6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CED8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7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耳异物钳</w:t>
            </w:r>
          </w:p>
        </w:tc>
        <w:tc>
          <w:tcPr>
            <w:tcW w:w="9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A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大麦粒头,头宽≥3mm，不锈钢材质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D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4B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14:paraId="27FC20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耳科器械包消毒盒</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长度≥450mm，宽度≥200mm，高度≥75mm，二层，不锈钢材质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0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F7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14:paraId="2BEBB2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F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耳内窥镜消毒盒</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2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长度≥300mm，宽度≥800mm，高度≥52mm，网状，不锈钢材质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D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bl>
    <w:p w14:paraId="7034ACB2">
      <w:pPr>
        <w:pStyle w:val="12"/>
        <w:keepNext w:val="0"/>
        <w:keepLines w:val="0"/>
        <w:pageBreakBefore w:val="0"/>
        <w:numPr>
          <w:ilvl w:val="0"/>
          <w:numId w:val="0"/>
        </w:numPr>
        <w:kinsoku/>
        <w:wordWrap/>
        <w:overflowPunct/>
        <w:topLinePunct w:val="0"/>
        <w:autoSpaceDE/>
        <w:autoSpaceDN/>
        <w:bidi w:val="0"/>
        <w:adjustRightInd/>
        <w:snapToGrid/>
        <w:spacing w:line="440" w:lineRule="exact"/>
        <w:ind w:leftChars="0"/>
        <w:rPr>
          <w:rFonts w:hint="eastAsia" w:ascii="仿宋" w:hAnsi="仿宋" w:eastAsia="仿宋" w:cs="仿宋"/>
          <w:b/>
          <w:color w:val="000000"/>
          <w:sz w:val="24"/>
          <w:lang w:val="en-US" w:eastAsia="zh-CN"/>
        </w:rPr>
      </w:pPr>
    </w:p>
    <w:p w14:paraId="06BF3BD9">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四、</w:t>
      </w:r>
      <w:r>
        <w:rPr>
          <w:rFonts w:hint="eastAsia" w:ascii="仿宋" w:hAnsi="仿宋" w:eastAsia="仿宋" w:cs="仿宋"/>
          <w:b/>
          <w:color w:val="000000"/>
          <w:sz w:val="24"/>
        </w:rPr>
        <w:t>商务要求：</w:t>
      </w:r>
    </w:p>
    <w:p w14:paraId="299DC233">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4389AC6A">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6A8AF7ED">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14:paraId="579F7176">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1.3合同设备交付时中标供应商应提供合同设备真实有效的生产日期，且保证合同设备的生产日期距交付时的时间差</w:t>
      </w:r>
      <w:r>
        <w:rPr>
          <w:rFonts w:hint="eastAsia" w:ascii="仿宋" w:hAnsi="仿宋" w:eastAsia="仿宋" w:cs="仿宋"/>
          <w:color w:val="000000"/>
          <w:sz w:val="24"/>
          <w:highlight w:val="none"/>
        </w:rPr>
        <w:t>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14:paraId="4BEE949E">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5AC38A98">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712C747A">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440DCD60">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4B90516C">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2093FEDD">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14:paraId="38920D38">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14:paraId="746554BA">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78B3C313">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14:paraId="5B63BB4F">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36AC776E">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1F4E6AAC">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3053EF08">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2709BBEE">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351405B">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1D768555">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6DB8478D">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w:t>
      </w:r>
      <w:r>
        <w:rPr>
          <w:rFonts w:hint="eastAsia" w:ascii="仿宋" w:hAnsi="仿宋" w:eastAsia="仿宋" w:cs="仿宋"/>
          <w:sz w:val="24"/>
          <w:highlight w:val="none"/>
          <w:lang w:val="en-US" w:eastAsia="zh-CN"/>
        </w:rPr>
        <w:t>两</w:t>
      </w:r>
      <w:r>
        <w:rPr>
          <w:rFonts w:hint="eastAsia" w:ascii="仿宋" w:hAnsi="仿宋" w:eastAsia="仿宋" w:cs="仿宋"/>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5%的款项。第</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14:paraId="40483428">
      <w:pPr>
        <w:rPr>
          <w:rFonts w:ascii="仿宋" w:hAnsi="仿宋" w:eastAsia="仿宋" w:cs="仿宋"/>
          <w:color w:val="000000"/>
          <w:sz w:val="24"/>
          <w:highlight w:val="cyan"/>
          <w:lang w:val="zh-CN"/>
        </w:rPr>
      </w:pPr>
    </w:p>
    <w:p w14:paraId="1D879EDC"/>
    <w:p w14:paraId="380686F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E7C1D"/>
    <w:multiLevelType w:val="singleLevel"/>
    <w:tmpl w:val="18FE7C1D"/>
    <w:lvl w:ilvl="0" w:tentative="0">
      <w:start w:val="1"/>
      <w:numFmt w:val="decimal"/>
      <w:lvlText w:val="%1."/>
      <w:lvlJc w:val="left"/>
      <w:pPr>
        <w:tabs>
          <w:tab w:val="left" w:pos="312"/>
        </w:tabs>
      </w:p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482248"/>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spacing w:line="360" w:lineRule="auto"/>
      <w:ind w:firstLine="420"/>
    </w:pPr>
    <w:rPr>
      <w:rFonts w:ascii="宋体"/>
    </w:r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10</Pages>
  <Words>655</Words>
  <Characters>742</Characters>
  <Lines>5</Lines>
  <Paragraphs>1</Paragraphs>
  <TotalTime>2</TotalTime>
  <ScaleCrop>false</ScaleCrop>
  <LinksUpToDate>false</LinksUpToDate>
  <CharactersWithSpaces>826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2024-08-21T09:18:34Z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3D822DBC6B0043ACAB372B0AB2E84D24</vt:lpwstr>
  </property>
</Properties>
</file>