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D4F4B">
      <w:pPr>
        <w:spacing w:line="440" w:lineRule="exact"/>
        <w:jc w:val="center"/>
        <w:rPr>
          <w:b/>
          <w:bCs/>
          <w:sz w:val="44"/>
          <w:szCs w:val="44"/>
        </w:rPr>
      </w:pPr>
      <w:r>
        <w:rPr>
          <w:rFonts w:hint="eastAsia"/>
          <w:b/>
          <w:bCs/>
          <w:sz w:val="44"/>
          <w:szCs w:val="44"/>
        </w:rPr>
        <w:t>报价单</w:t>
      </w:r>
    </w:p>
    <w:p w14:paraId="36CA74DD">
      <w:pPr>
        <w:spacing w:line="440" w:lineRule="exact"/>
        <w:jc w:val="center"/>
        <w:rPr>
          <w:sz w:val="24"/>
          <w:szCs w:val="24"/>
        </w:rPr>
      </w:pPr>
    </w:p>
    <w:p w14:paraId="08D4F0AA">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3EFF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EDBCBC2">
            <w:pPr>
              <w:spacing w:line="360" w:lineRule="auto"/>
              <w:jc w:val="center"/>
              <w:rPr>
                <w:sz w:val="24"/>
                <w:szCs w:val="24"/>
              </w:rPr>
            </w:pPr>
            <w:r>
              <w:rPr>
                <w:rFonts w:hint="eastAsia"/>
                <w:sz w:val="24"/>
                <w:szCs w:val="24"/>
              </w:rPr>
              <w:t>设备名称</w:t>
            </w:r>
          </w:p>
        </w:tc>
        <w:tc>
          <w:tcPr>
            <w:tcW w:w="5835" w:type="dxa"/>
            <w:vAlign w:val="top"/>
          </w:tcPr>
          <w:p w14:paraId="364E2ED9">
            <w:pPr>
              <w:spacing w:line="360" w:lineRule="auto"/>
              <w:jc w:val="left"/>
              <w:rPr>
                <w:sz w:val="24"/>
                <w:szCs w:val="24"/>
              </w:rPr>
            </w:pPr>
          </w:p>
        </w:tc>
      </w:tr>
      <w:tr w14:paraId="3723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4E9ABD">
            <w:pPr>
              <w:spacing w:line="360" w:lineRule="auto"/>
              <w:jc w:val="center"/>
              <w:rPr>
                <w:sz w:val="24"/>
                <w:szCs w:val="24"/>
              </w:rPr>
            </w:pPr>
            <w:r>
              <w:rPr>
                <w:rFonts w:hint="eastAsia"/>
                <w:sz w:val="24"/>
                <w:szCs w:val="24"/>
              </w:rPr>
              <w:t>型号</w:t>
            </w:r>
          </w:p>
        </w:tc>
        <w:tc>
          <w:tcPr>
            <w:tcW w:w="5835" w:type="dxa"/>
            <w:vAlign w:val="top"/>
          </w:tcPr>
          <w:p w14:paraId="1D915827">
            <w:pPr>
              <w:spacing w:line="360" w:lineRule="auto"/>
              <w:jc w:val="left"/>
              <w:rPr>
                <w:sz w:val="24"/>
                <w:szCs w:val="24"/>
              </w:rPr>
            </w:pPr>
          </w:p>
        </w:tc>
      </w:tr>
      <w:tr w14:paraId="4A9F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B159CD7">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18BEDAD">
            <w:pPr>
              <w:spacing w:line="360" w:lineRule="auto"/>
              <w:jc w:val="left"/>
              <w:rPr>
                <w:sz w:val="24"/>
                <w:szCs w:val="24"/>
              </w:rPr>
            </w:pPr>
          </w:p>
        </w:tc>
      </w:tr>
      <w:tr w14:paraId="2E8E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AA30DFF">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E471B05">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261C0E3">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7B4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C266697">
            <w:pPr>
              <w:spacing w:line="360" w:lineRule="auto"/>
              <w:jc w:val="center"/>
              <w:rPr>
                <w:sz w:val="24"/>
                <w:szCs w:val="24"/>
              </w:rPr>
            </w:pPr>
            <w:r>
              <w:rPr>
                <w:rFonts w:hint="eastAsia"/>
                <w:sz w:val="24"/>
                <w:szCs w:val="24"/>
              </w:rPr>
              <w:t>产地</w:t>
            </w:r>
          </w:p>
        </w:tc>
        <w:tc>
          <w:tcPr>
            <w:tcW w:w="5835" w:type="dxa"/>
            <w:vAlign w:val="top"/>
          </w:tcPr>
          <w:p w14:paraId="32B7E4B0">
            <w:pPr>
              <w:spacing w:line="360" w:lineRule="auto"/>
              <w:jc w:val="left"/>
              <w:rPr>
                <w:sz w:val="24"/>
                <w:szCs w:val="24"/>
              </w:rPr>
            </w:pPr>
          </w:p>
        </w:tc>
      </w:tr>
      <w:tr w14:paraId="750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12194AB">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5E28277A">
            <w:pPr>
              <w:spacing w:line="360" w:lineRule="auto"/>
              <w:jc w:val="left"/>
              <w:rPr>
                <w:sz w:val="24"/>
                <w:szCs w:val="24"/>
              </w:rPr>
            </w:pPr>
          </w:p>
        </w:tc>
      </w:tr>
      <w:tr w14:paraId="4E50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762625E">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0535D62">
            <w:pPr>
              <w:spacing w:line="360" w:lineRule="auto"/>
              <w:jc w:val="left"/>
              <w:rPr>
                <w:sz w:val="24"/>
                <w:szCs w:val="24"/>
              </w:rPr>
            </w:pPr>
          </w:p>
        </w:tc>
      </w:tr>
      <w:tr w14:paraId="4DE9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33BBB3B">
            <w:pPr>
              <w:spacing w:line="360" w:lineRule="auto"/>
              <w:jc w:val="center"/>
              <w:rPr>
                <w:sz w:val="24"/>
                <w:szCs w:val="24"/>
              </w:rPr>
            </w:pPr>
            <w:r>
              <w:rPr>
                <w:rFonts w:hint="eastAsia"/>
                <w:sz w:val="24"/>
                <w:szCs w:val="24"/>
              </w:rPr>
              <w:t>单价（元）</w:t>
            </w:r>
          </w:p>
        </w:tc>
        <w:tc>
          <w:tcPr>
            <w:tcW w:w="5835" w:type="dxa"/>
            <w:vAlign w:val="top"/>
          </w:tcPr>
          <w:p w14:paraId="22550F53">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125E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2471A46">
            <w:pPr>
              <w:spacing w:line="360" w:lineRule="auto"/>
              <w:jc w:val="center"/>
              <w:rPr>
                <w:sz w:val="24"/>
                <w:szCs w:val="24"/>
              </w:rPr>
            </w:pPr>
            <w:r>
              <w:rPr>
                <w:rFonts w:hint="eastAsia"/>
                <w:sz w:val="24"/>
                <w:szCs w:val="24"/>
              </w:rPr>
              <w:t>总价（元）</w:t>
            </w:r>
          </w:p>
        </w:tc>
        <w:tc>
          <w:tcPr>
            <w:tcW w:w="5835" w:type="dxa"/>
            <w:vAlign w:val="top"/>
          </w:tcPr>
          <w:p w14:paraId="2D25724A">
            <w:pPr>
              <w:spacing w:line="360" w:lineRule="auto"/>
              <w:jc w:val="left"/>
              <w:rPr>
                <w:sz w:val="24"/>
                <w:szCs w:val="24"/>
              </w:rPr>
            </w:pPr>
          </w:p>
        </w:tc>
      </w:tr>
      <w:tr w14:paraId="04DF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B80D817">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9D3EF4E">
            <w:pPr>
              <w:spacing w:line="360" w:lineRule="auto"/>
              <w:jc w:val="left"/>
              <w:rPr>
                <w:rFonts w:hint="eastAsia"/>
                <w:sz w:val="21"/>
                <w:szCs w:val="21"/>
                <w:lang w:val="en-US" w:eastAsia="zh-CN"/>
              </w:rPr>
            </w:pPr>
          </w:p>
          <w:p w14:paraId="16D8FD3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6FFA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6D9C4C1">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6E0103B1">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37BA5B2">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26164665">
      <w:pPr>
        <w:jc w:val="center"/>
        <w:rPr>
          <w:rFonts w:hint="eastAsia"/>
          <w:sz w:val="24"/>
          <w:szCs w:val="24"/>
        </w:rPr>
      </w:pPr>
      <w:r>
        <w:rPr>
          <w:rFonts w:hint="eastAsia"/>
          <w:sz w:val="24"/>
          <w:szCs w:val="24"/>
        </w:rPr>
        <w:t xml:space="preserve">                                                                              </w:t>
      </w:r>
    </w:p>
    <w:p w14:paraId="0B3615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B828F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2E2797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531B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189C38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057C0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2335C490">
      <w:pPr>
        <w:spacing w:line="440" w:lineRule="exact"/>
        <w:rPr>
          <w:rFonts w:hint="eastAsia"/>
          <w:b/>
          <w:bCs/>
          <w:color w:val="0000FF"/>
          <w:sz w:val="21"/>
          <w:szCs w:val="21"/>
        </w:rPr>
      </w:pPr>
      <w:r>
        <w:rPr>
          <w:rFonts w:hint="eastAsia"/>
          <w:b/>
          <w:bCs/>
          <w:color w:val="0000FF"/>
          <w:sz w:val="21"/>
          <w:szCs w:val="21"/>
        </w:rPr>
        <w:t>报价供应商须同时提供以下资料：</w:t>
      </w:r>
    </w:p>
    <w:p w14:paraId="45D7513D">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60D0E33">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78515492">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730D73E9">
      <w:pPr>
        <w:pStyle w:val="5"/>
        <w:ind w:left="0" w:leftChars="0" w:firstLine="0" w:firstLineChars="0"/>
        <w:rPr>
          <w:rFonts w:hint="eastAsia"/>
          <w:b/>
          <w:bCs/>
          <w:color w:val="0000FF"/>
          <w:sz w:val="24"/>
        </w:rPr>
      </w:pPr>
    </w:p>
    <w:p w14:paraId="722593E2">
      <w:pPr>
        <w:pStyle w:val="5"/>
        <w:rPr>
          <w:rFonts w:hint="eastAsia"/>
          <w:b/>
          <w:bCs/>
          <w:color w:val="0000FF"/>
          <w:sz w:val="24"/>
        </w:rPr>
      </w:pPr>
    </w:p>
    <w:p w14:paraId="196BC041">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7E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C3DF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B6D34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44156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8FF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A293A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1BF1F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F49D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8753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7884F2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0CA00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19577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7F3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30AFDB0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711F41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6D327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70A87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733B5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27F23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2B82A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3A1301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7CD469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2D41E7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79D0C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4E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5B2641D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5345B74E">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3A2BEC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7D9C82C">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62AF557">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83D8D7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3D12B518">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EFC274B">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323E6AF">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388C42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6EAC4A3">
            <w:pPr>
              <w:jc w:val="center"/>
              <w:rPr>
                <w:rFonts w:hint="eastAsia" w:ascii="宋体" w:hAnsi="宋体" w:eastAsia="宋体" w:cs="宋体"/>
                <w:i w:val="0"/>
                <w:iCs w:val="0"/>
                <w:color w:val="000000"/>
                <w:sz w:val="18"/>
                <w:szCs w:val="18"/>
                <w:u w:val="none"/>
              </w:rPr>
            </w:pPr>
          </w:p>
        </w:tc>
      </w:tr>
      <w:tr w14:paraId="25AB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0B48834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12C8D213">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49EC0F7">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198EC20">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2716021">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BB74B44">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CB5A50C">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700CB86">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B577B40">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8173F4C">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EFAE377">
            <w:pPr>
              <w:rPr>
                <w:rFonts w:hint="eastAsia" w:ascii="宋体" w:hAnsi="宋体" w:eastAsia="宋体" w:cs="宋体"/>
                <w:i w:val="0"/>
                <w:iCs w:val="0"/>
                <w:color w:val="000000"/>
                <w:sz w:val="18"/>
                <w:szCs w:val="18"/>
                <w:u w:val="none"/>
              </w:rPr>
            </w:pPr>
          </w:p>
        </w:tc>
      </w:tr>
    </w:tbl>
    <w:p w14:paraId="545F97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99A03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15F0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30B0F5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7BDFC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36A7EB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53488E3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1D029A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2022736">
      <w:pPr>
        <w:spacing w:line="440" w:lineRule="exact"/>
        <w:jc w:val="center"/>
        <w:rPr>
          <w:rFonts w:hint="eastAsia"/>
          <w:b/>
          <w:sz w:val="32"/>
          <w:szCs w:val="32"/>
        </w:rPr>
      </w:pPr>
    </w:p>
    <w:p w14:paraId="5962F4B9">
      <w:pPr>
        <w:spacing w:line="440" w:lineRule="exact"/>
        <w:jc w:val="center"/>
        <w:rPr>
          <w:rFonts w:hint="eastAsia"/>
          <w:b/>
          <w:sz w:val="32"/>
          <w:szCs w:val="32"/>
        </w:rPr>
      </w:pPr>
    </w:p>
    <w:p w14:paraId="13CAAE82">
      <w:pPr>
        <w:spacing w:line="440" w:lineRule="exact"/>
        <w:jc w:val="both"/>
        <w:rPr>
          <w:rFonts w:hint="eastAsia"/>
          <w:b/>
          <w:sz w:val="32"/>
          <w:szCs w:val="32"/>
        </w:rPr>
      </w:pPr>
    </w:p>
    <w:p w14:paraId="54F0E317">
      <w:pPr>
        <w:pStyle w:val="5"/>
        <w:rPr>
          <w:rFonts w:hint="eastAsia"/>
          <w:b/>
          <w:sz w:val="32"/>
          <w:szCs w:val="32"/>
        </w:rPr>
      </w:pPr>
    </w:p>
    <w:p w14:paraId="073589CE">
      <w:pPr>
        <w:pStyle w:val="5"/>
        <w:rPr>
          <w:rFonts w:hint="eastAsia"/>
          <w:b/>
          <w:sz w:val="32"/>
          <w:szCs w:val="32"/>
        </w:rPr>
      </w:pPr>
    </w:p>
    <w:p w14:paraId="0203F77F">
      <w:pPr>
        <w:pStyle w:val="5"/>
        <w:rPr>
          <w:rFonts w:hint="eastAsia"/>
          <w:b/>
          <w:sz w:val="32"/>
          <w:szCs w:val="32"/>
        </w:rPr>
      </w:pPr>
    </w:p>
    <w:p w14:paraId="690D7567">
      <w:pPr>
        <w:pStyle w:val="5"/>
        <w:rPr>
          <w:rFonts w:hint="eastAsia"/>
          <w:b/>
          <w:sz w:val="32"/>
          <w:szCs w:val="32"/>
        </w:rPr>
      </w:pPr>
    </w:p>
    <w:p w14:paraId="401CCDEA">
      <w:pPr>
        <w:spacing w:line="440" w:lineRule="exact"/>
        <w:jc w:val="center"/>
        <w:rPr>
          <w:rFonts w:hint="eastAsia"/>
          <w:b/>
          <w:sz w:val="32"/>
          <w:szCs w:val="32"/>
        </w:rPr>
      </w:pPr>
    </w:p>
    <w:p w14:paraId="2ED1469D">
      <w:pPr>
        <w:spacing w:line="440" w:lineRule="exact"/>
        <w:jc w:val="both"/>
        <w:rPr>
          <w:rFonts w:hint="eastAsia"/>
          <w:b/>
          <w:sz w:val="32"/>
          <w:szCs w:val="32"/>
        </w:rPr>
      </w:pPr>
    </w:p>
    <w:p w14:paraId="5C38CFF3">
      <w:pPr>
        <w:spacing w:line="440" w:lineRule="exact"/>
        <w:jc w:val="center"/>
        <w:rPr>
          <w:rFonts w:hint="eastAsia"/>
          <w:b/>
          <w:sz w:val="32"/>
          <w:szCs w:val="32"/>
        </w:rPr>
      </w:pPr>
    </w:p>
    <w:p w14:paraId="4C1127F2">
      <w:pPr>
        <w:spacing w:line="440" w:lineRule="exact"/>
        <w:jc w:val="center"/>
        <w:rPr>
          <w:b/>
          <w:sz w:val="32"/>
          <w:szCs w:val="32"/>
        </w:rPr>
      </w:pPr>
      <w:r>
        <w:rPr>
          <w:rFonts w:hint="eastAsia"/>
          <w:b/>
          <w:sz w:val="32"/>
          <w:szCs w:val="32"/>
        </w:rPr>
        <w:t>参数偏离情况表</w:t>
      </w:r>
    </w:p>
    <w:p w14:paraId="4801355E">
      <w:pPr>
        <w:spacing w:line="440" w:lineRule="exact"/>
        <w:rPr>
          <w:b/>
          <w:bCs/>
          <w:sz w:val="24"/>
        </w:rPr>
      </w:pPr>
      <w:r>
        <w:rPr>
          <w:rFonts w:hint="eastAsia"/>
          <w:b/>
          <w:bCs/>
          <w:sz w:val="24"/>
        </w:rPr>
        <w:t>填写要求：</w:t>
      </w:r>
    </w:p>
    <w:p w14:paraId="133379B5">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71167618">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B357FC3">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9F773B">
      <w:pPr>
        <w:spacing w:line="380" w:lineRule="exact"/>
        <w:rPr>
          <w:rFonts w:ascii="宋体" w:hAnsi="宋体"/>
          <w:color w:val="000000"/>
          <w:szCs w:val="21"/>
        </w:rPr>
      </w:pPr>
    </w:p>
    <w:p w14:paraId="3EF6CD0A">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093C6A35">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7CB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A1CFA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B7630A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025D7B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74A8F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2CA3F2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1E874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46A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5848D3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AFDE50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7E6DE43">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50863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BF62D23">
            <w:pPr>
              <w:widowControl/>
              <w:spacing w:line="440" w:lineRule="exact"/>
              <w:rPr>
                <w:rFonts w:ascii="宋体" w:hAnsi="宋体" w:cs="宋体"/>
                <w:bCs/>
                <w:sz w:val="18"/>
                <w:szCs w:val="18"/>
              </w:rPr>
            </w:pPr>
          </w:p>
        </w:tc>
      </w:tr>
      <w:tr w14:paraId="274A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550A95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DBE968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7EC22DF">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5F77F7C">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33CEF3D">
            <w:pPr>
              <w:widowControl/>
              <w:spacing w:line="440" w:lineRule="exact"/>
              <w:rPr>
                <w:rFonts w:ascii="宋体" w:hAnsi="宋体" w:cs="宋体"/>
                <w:bCs/>
                <w:sz w:val="18"/>
                <w:szCs w:val="18"/>
              </w:rPr>
            </w:pPr>
          </w:p>
        </w:tc>
      </w:tr>
      <w:tr w14:paraId="093B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B155F5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C5BC8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D1F818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3E4850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0ADBBF4">
            <w:pPr>
              <w:widowControl/>
              <w:spacing w:line="440" w:lineRule="exact"/>
              <w:rPr>
                <w:rFonts w:ascii="宋体" w:hAnsi="宋体" w:cs="宋体"/>
                <w:bCs/>
                <w:sz w:val="18"/>
                <w:szCs w:val="18"/>
              </w:rPr>
            </w:pPr>
          </w:p>
        </w:tc>
      </w:tr>
      <w:tr w14:paraId="3B32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AEE029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16885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BA7642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E46712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C97C2FB">
            <w:pPr>
              <w:widowControl/>
              <w:spacing w:line="440" w:lineRule="exact"/>
              <w:rPr>
                <w:rFonts w:ascii="宋体" w:hAnsi="宋体" w:cs="宋体"/>
                <w:bCs/>
                <w:sz w:val="18"/>
                <w:szCs w:val="18"/>
              </w:rPr>
            </w:pPr>
          </w:p>
        </w:tc>
      </w:tr>
      <w:tr w14:paraId="487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5BAF3D">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3A7146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7B4B670">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EC9E29E">
            <w:pPr>
              <w:spacing w:line="440" w:lineRule="exact"/>
              <w:jc w:val="center"/>
              <w:rPr>
                <w:rFonts w:ascii="宋体" w:hAnsi="宋体" w:cs="宋体"/>
                <w:bCs/>
                <w:sz w:val="18"/>
                <w:szCs w:val="18"/>
              </w:rPr>
            </w:pPr>
          </w:p>
        </w:tc>
        <w:tc>
          <w:tcPr>
            <w:tcW w:w="1669" w:type="dxa"/>
            <w:shd w:val="clear" w:color="000000" w:fill="FFFFFF"/>
            <w:noWrap/>
            <w:vAlign w:val="center"/>
          </w:tcPr>
          <w:p w14:paraId="64E3029B">
            <w:pPr>
              <w:widowControl/>
              <w:spacing w:line="440" w:lineRule="exact"/>
              <w:rPr>
                <w:rFonts w:ascii="宋体" w:hAnsi="宋体" w:cs="宋体"/>
                <w:bCs/>
                <w:sz w:val="18"/>
                <w:szCs w:val="18"/>
              </w:rPr>
            </w:pPr>
          </w:p>
        </w:tc>
      </w:tr>
      <w:tr w14:paraId="4194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159011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089E25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F08E6E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37408FF">
            <w:pPr>
              <w:spacing w:line="440" w:lineRule="exact"/>
              <w:jc w:val="center"/>
              <w:rPr>
                <w:rFonts w:ascii="宋体" w:hAnsi="宋体" w:cs="宋体"/>
                <w:bCs/>
                <w:sz w:val="18"/>
                <w:szCs w:val="18"/>
              </w:rPr>
            </w:pPr>
          </w:p>
        </w:tc>
        <w:tc>
          <w:tcPr>
            <w:tcW w:w="1669" w:type="dxa"/>
            <w:shd w:val="clear" w:color="000000" w:fill="FFFFFF"/>
            <w:noWrap/>
            <w:vAlign w:val="center"/>
          </w:tcPr>
          <w:p w14:paraId="6A62A9F1">
            <w:pPr>
              <w:widowControl/>
              <w:spacing w:line="440" w:lineRule="exact"/>
              <w:rPr>
                <w:rFonts w:ascii="宋体" w:hAnsi="宋体" w:cs="宋体"/>
                <w:bCs/>
                <w:sz w:val="18"/>
                <w:szCs w:val="18"/>
              </w:rPr>
            </w:pPr>
          </w:p>
        </w:tc>
      </w:tr>
      <w:tr w14:paraId="4DDE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669045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93B3FC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CF4F23">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5D1DD8D3">
            <w:pPr>
              <w:spacing w:line="440" w:lineRule="exact"/>
              <w:jc w:val="center"/>
              <w:rPr>
                <w:rFonts w:ascii="宋体" w:hAnsi="宋体" w:cs="宋体"/>
                <w:bCs/>
                <w:sz w:val="18"/>
                <w:szCs w:val="18"/>
              </w:rPr>
            </w:pPr>
          </w:p>
        </w:tc>
        <w:tc>
          <w:tcPr>
            <w:tcW w:w="1669" w:type="dxa"/>
            <w:shd w:val="clear" w:color="000000" w:fill="FFFFFF"/>
            <w:noWrap/>
            <w:vAlign w:val="center"/>
          </w:tcPr>
          <w:p w14:paraId="78D775D1">
            <w:pPr>
              <w:widowControl/>
              <w:spacing w:line="440" w:lineRule="exact"/>
              <w:rPr>
                <w:rFonts w:ascii="宋体" w:hAnsi="宋体" w:cs="宋体"/>
                <w:bCs/>
                <w:sz w:val="18"/>
                <w:szCs w:val="18"/>
              </w:rPr>
            </w:pPr>
          </w:p>
        </w:tc>
      </w:tr>
    </w:tbl>
    <w:p w14:paraId="7BAE4BA4">
      <w:pPr>
        <w:spacing w:line="340" w:lineRule="exact"/>
        <w:rPr>
          <w:rFonts w:ascii="宋体"/>
          <w:sz w:val="30"/>
          <w:szCs w:val="30"/>
        </w:rPr>
      </w:pPr>
    </w:p>
    <w:p w14:paraId="7BEED30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D4D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EB7DF6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A1A2AB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1AC7D06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566189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365E3D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1850CF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A54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E53EAE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493F5C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A089E3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3FAEFC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44C1981">
            <w:pPr>
              <w:widowControl/>
              <w:spacing w:line="440" w:lineRule="exact"/>
              <w:rPr>
                <w:rFonts w:ascii="宋体" w:hAnsi="宋体" w:cs="宋体"/>
                <w:bCs/>
                <w:sz w:val="18"/>
                <w:szCs w:val="18"/>
              </w:rPr>
            </w:pPr>
          </w:p>
        </w:tc>
      </w:tr>
      <w:tr w14:paraId="6654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D8E7C26">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6D98A51">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58ACA1F">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D11A71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A2B02AD">
            <w:pPr>
              <w:widowControl/>
              <w:spacing w:line="440" w:lineRule="exact"/>
              <w:rPr>
                <w:rFonts w:ascii="宋体" w:hAnsi="宋体" w:cs="宋体"/>
                <w:bCs/>
                <w:sz w:val="18"/>
                <w:szCs w:val="18"/>
              </w:rPr>
            </w:pPr>
          </w:p>
        </w:tc>
      </w:tr>
      <w:tr w14:paraId="7997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AA9E24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A468117">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BBCD0A7">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1EE96D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87B0F11">
            <w:pPr>
              <w:widowControl/>
              <w:spacing w:line="440" w:lineRule="exact"/>
              <w:rPr>
                <w:rFonts w:ascii="宋体" w:hAnsi="宋体" w:cs="宋体"/>
                <w:bCs/>
                <w:sz w:val="18"/>
                <w:szCs w:val="18"/>
              </w:rPr>
            </w:pPr>
          </w:p>
        </w:tc>
      </w:tr>
      <w:tr w14:paraId="0497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1A756A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04E74A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847B0F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163311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AF81E47">
            <w:pPr>
              <w:widowControl/>
              <w:spacing w:line="440" w:lineRule="exact"/>
              <w:rPr>
                <w:rFonts w:ascii="宋体" w:hAnsi="宋体" w:cs="宋体"/>
                <w:bCs/>
                <w:sz w:val="18"/>
                <w:szCs w:val="18"/>
              </w:rPr>
            </w:pPr>
          </w:p>
        </w:tc>
      </w:tr>
      <w:tr w14:paraId="436E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C2638CB">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C6D32F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D2BBE5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6811F7F">
            <w:pPr>
              <w:spacing w:line="440" w:lineRule="exact"/>
              <w:jc w:val="center"/>
              <w:rPr>
                <w:rFonts w:ascii="宋体" w:hAnsi="宋体" w:cs="宋体"/>
                <w:bCs/>
                <w:sz w:val="18"/>
                <w:szCs w:val="18"/>
              </w:rPr>
            </w:pPr>
          </w:p>
        </w:tc>
        <w:tc>
          <w:tcPr>
            <w:tcW w:w="1669" w:type="dxa"/>
            <w:shd w:val="clear" w:color="000000" w:fill="FFFFFF"/>
            <w:noWrap/>
            <w:vAlign w:val="center"/>
          </w:tcPr>
          <w:p w14:paraId="5E4305C1">
            <w:pPr>
              <w:widowControl/>
              <w:spacing w:line="440" w:lineRule="exact"/>
              <w:rPr>
                <w:rFonts w:ascii="宋体" w:hAnsi="宋体" w:cs="宋体"/>
                <w:bCs/>
                <w:sz w:val="18"/>
                <w:szCs w:val="18"/>
              </w:rPr>
            </w:pPr>
          </w:p>
        </w:tc>
      </w:tr>
      <w:tr w14:paraId="2603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552435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C9B633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FCCA6A2">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4C7989C">
            <w:pPr>
              <w:spacing w:line="440" w:lineRule="exact"/>
              <w:jc w:val="center"/>
              <w:rPr>
                <w:rFonts w:ascii="宋体" w:hAnsi="宋体" w:cs="宋体"/>
                <w:bCs/>
                <w:sz w:val="18"/>
                <w:szCs w:val="18"/>
              </w:rPr>
            </w:pPr>
          </w:p>
        </w:tc>
        <w:tc>
          <w:tcPr>
            <w:tcW w:w="1669" w:type="dxa"/>
            <w:shd w:val="clear" w:color="000000" w:fill="FFFFFF"/>
            <w:noWrap/>
            <w:vAlign w:val="center"/>
          </w:tcPr>
          <w:p w14:paraId="2E9E7C4C">
            <w:pPr>
              <w:widowControl/>
              <w:spacing w:line="440" w:lineRule="exact"/>
              <w:rPr>
                <w:rFonts w:ascii="宋体" w:hAnsi="宋体" w:cs="宋体"/>
                <w:bCs/>
                <w:sz w:val="18"/>
                <w:szCs w:val="18"/>
              </w:rPr>
            </w:pPr>
          </w:p>
        </w:tc>
      </w:tr>
      <w:tr w14:paraId="591C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AA04A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6825C0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B7ACAE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F3A4709">
            <w:pPr>
              <w:spacing w:line="440" w:lineRule="exact"/>
              <w:jc w:val="center"/>
              <w:rPr>
                <w:rFonts w:ascii="宋体" w:hAnsi="宋体" w:cs="宋体"/>
                <w:bCs/>
                <w:sz w:val="18"/>
                <w:szCs w:val="18"/>
              </w:rPr>
            </w:pPr>
          </w:p>
        </w:tc>
        <w:tc>
          <w:tcPr>
            <w:tcW w:w="1669" w:type="dxa"/>
            <w:shd w:val="clear" w:color="000000" w:fill="FFFFFF"/>
            <w:noWrap/>
            <w:vAlign w:val="center"/>
          </w:tcPr>
          <w:p w14:paraId="5563AE32">
            <w:pPr>
              <w:widowControl/>
              <w:spacing w:line="440" w:lineRule="exact"/>
              <w:rPr>
                <w:rFonts w:ascii="宋体" w:hAnsi="宋体" w:cs="宋体"/>
                <w:bCs/>
                <w:sz w:val="18"/>
                <w:szCs w:val="18"/>
              </w:rPr>
            </w:pPr>
          </w:p>
        </w:tc>
      </w:tr>
    </w:tbl>
    <w:p w14:paraId="6C8BCD46">
      <w:pPr>
        <w:tabs>
          <w:tab w:val="left" w:pos="720"/>
        </w:tabs>
        <w:spacing w:line="340" w:lineRule="exact"/>
        <w:jc w:val="left"/>
        <w:rPr>
          <w:rFonts w:ascii="宋体" w:hAnsi="宋体"/>
          <w:b/>
          <w:bCs/>
          <w:sz w:val="30"/>
          <w:szCs w:val="30"/>
        </w:rPr>
      </w:pPr>
    </w:p>
    <w:p w14:paraId="730F459B">
      <w:pPr>
        <w:spacing w:line="440" w:lineRule="exact"/>
        <w:rPr>
          <w:rFonts w:ascii="宋体" w:hAnsi="宋体"/>
          <w:sz w:val="24"/>
        </w:rPr>
      </w:pPr>
    </w:p>
    <w:p w14:paraId="43655D2C"/>
    <w:p w14:paraId="09603B7B">
      <w:pPr>
        <w:pStyle w:val="5"/>
      </w:pPr>
    </w:p>
    <w:p w14:paraId="67C6E71E">
      <w:pPr>
        <w:pStyle w:val="5"/>
      </w:pPr>
    </w:p>
    <w:p w14:paraId="18F36A8C">
      <w:pPr>
        <w:pStyle w:val="5"/>
      </w:pPr>
    </w:p>
    <w:p w14:paraId="0DA32D29">
      <w:pPr>
        <w:pStyle w:val="5"/>
      </w:pPr>
    </w:p>
    <w:p w14:paraId="3D3FCBB7">
      <w:pPr>
        <w:pStyle w:val="5"/>
      </w:pPr>
    </w:p>
    <w:p w14:paraId="16F0F311">
      <w:pPr>
        <w:pStyle w:val="5"/>
      </w:pPr>
    </w:p>
    <w:p w14:paraId="07032222">
      <w:pPr>
        <w:pStyle w:val="5"/>
      </w:pPr>
    </w:p>
    <w:p w14:paraId="77FA5507">
      <w:pPr>
        <w:pStyle w:val="5"/>
      </w:pPr>
    </w:p>
    <w:p w14:paraId="0837AE0E">
      <w:pPr>
        <w:pStyle w:val="5"/>
      </w:pPr>
    </w:p>
    <w:p w14:paraId="7435C384">
      <w:pPr>
        <w:pStyle w:val="5"/>
      </w:pPr>
    </w:p>
    <w:p w14:paraId="58FEA4B2">
      <w:pPr>
        <w:pStyle w:val="5"/>
      </w:pPr>
    </w:p>
    <w:p w14:paraId="28B11605">
      <w:pPr>
        <w:pStyle w:val="5"/>
      </w:pPr>
    </w:p>
    <w:p w14:paraId="133701BE">
      <w:pPr>
        <w:pStyle w:val="5"/>
      </w:pPr>
    </w:p>
    <w:p w14:paraId="14A30A4D">
      <w:pPr>
        <w:pStyle w:val="5"/>
      </w:pPr>
    </w:p>
    <w:p w14:paraId="29520A36">
      <w:pPr>
        <w:pStyle w:val="5"/>
      </w:pPr>
    </w:p>
    <w:p w14:paraId="1C6CFFCA">
      <w:pPr>
        <w:pStyle w:val="5"/>
      </w:pPr>
    </w:p>
    <w:p w14:paraId="15B27321">
      <w:pPr>
        <w:pStyle w:val="5"/>
      </w:pPr>
    </w:p>
    <w:p w14:paraId="3BA42919">
      <w:pPr>
        <w:pStyle w:val="5"/>
      </w:pPr>
    </w:p>
    <w:p w14:paraId="390BD028">
      <w:pPr>
        <w:pStyle w:val="5"/>
      </w:pPr>
    </w:p>
    <w:p w14:paraId="6D72CFB7">
      <w:pPr>
        <w:pStyle w:val="5"/>
      </w:pPr>
    </w:p>
    <w:p w14:paraId="6D5DE6B4">
      <w:pPr>
        <w:pStyle w:val="5"/>
      </w:pPr>
    </w:p>
    <w:p w14:paraId="11AB5E3A">
      <w:pPr>
        <w:pStyle w:val="5"/>
      </w:pPr>
    </w:p>
    <w:p w14:paraId="047E7255">
      <w:pPr>
        <w:pStyle w:val="5"/>
      </w:pPr>
    </w:p>
    <w:p w14:paraId="24D240B0">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20EE159B">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119771AC">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E717861">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FC08C80">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40FC3256">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2831814F">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45824C05">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7484B2AF">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60B0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14:paraId="2080A50D">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14:paraId="3C16FD36">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14:paraId="70252FBD">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14:paraId="5FFF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14:paraId="1C261A49">
            <w:pPr>
              <w:spacing w:line="440" w:lineRule="exact"/>
              <w:rPr>
                <w:rFonts w:ascii="仿宋" w:hAnsi="仿宋" w:eastAsia="仿宋" w:cs="仿宋"/>
                <w:color w:val="000000"/>
                <w:sz w:val="24"/>
              </w:rPr>
            </w:pPr>
            <w:r>
              <w:rPr>
                <w:rFonts w:hint="eastAsia" w:ascii="仿宋" w:hAnsi="仿宋" w:eastAsia="仿宋" w:cs="仿宋"/>
                <w:color w:val="000000"/>
                <w:sz w:val="24"/>
              </w:rPr>
              <w:t>等离子射频手术系统</w:t>
            </w:r>
          </w:p>
        </w:tc>
        <w:tc>
          <w:tcPr>
            <w:tcW w:w="2268" w:type="dxa"/>
            <w:noWrap w:val="0"/>
            <w:vAlign w:val="top"/>
          </w:tcPr>
          <w:p w14:paraId="5AE1A6E6">
            <w:pPr>
              <w:spacing w:line="440" w:lineRule="exact"/>
              <w:rPr>
                <w:rFonts w:ascii="仿宋" w:hAnsi="仿宋" w:eastAsia="仿宋" w:cs="仿宋"/>
                <w:color w:val="000000"/>
                <w:sz w:val="24"/>
              </w:rPr>
            </w:pPr>
            <w:r>
              <w:rPr>
                <w:rFonts w:hint="eastAsia" w:ascii="仿宋" w:hAnsi="仿宋" w:eastAsia="仿宋" w:cs="仿宋"/>
                <w:color w:val="000000"/>
                <w:sz w:val="24"/>
              </w:rPr>
              <w:t>耳鼻喉科</w:t>
            </w:r>
          </w:p>
        </w:tc>
        <w:tc>
          <w:tcPr>
            <w:tcW w:w="2508" w:type="dxa"/>
            <w:noWrap w:val="0"/>
            <w:vAlign w:val="top"/>
          </w:tcPr>
          <w:p w14:paraId="5248D754">
            <w:pPr>
              <w:spacing w:line="440" w:lineRule="exact"/>
              <w:rPr>
                <w:rFonts w:ascii="仿宋" w:hAnsi="仿宋" w:eastAsia="仿宋" w:cs="仿宋"/>
                <w:color w:val="000000"/>
                <w:sz w:val="24"/>
              </w:rPr>
            </w:pPr>
            <w:r>
              <w:rPr>
                <w:rFonts w:hint="eastAsia" w:ascii="仿宋" w:hAnsi="仿宋" w:eastAsia="仿宋" w:cs="仿宋"/>
                <w:color w:val="000000"/>
                <w:sz w:val="24"/>
              </w:rPr>
              <w:t>1</w:t>
            </w:r>
          </w:p>
        </w:tc>
      </w:tr>
    </w:tbl>
    <w:p w14:paraId="438A2BF9">
      <w:pPr>
        <w:spacing w:line="440" w:lineRule="exact"/>
        <w:rPr>
          <w:rFonts w:ascii="仿宋" w:hAnsi="仿宋" w:eastAsia="仿宋" w:cs="仿宋"/>
          <w:color w:val="000000"/>
          <w:sz w:val="24"/>
        </w:rPr>
      </w:pPr>
      <w:r>
        <w:rPr>
          <w:rFonts w:hint="eastAsia" w:ascii="仿宋" w:hAnsi="仿宋" w:eastAsia="仿宋" w:cs="仿宋"/>
          <w:color w:val="000000"/>
          <w:sz w:val="24"/>
        </w:rPr>
        <w:t>核心产品：等离子射频手术系统</w:t>
      </w:r>
    </w:p>
    <w:p w14:paraId="197DDF22">
      <w:pPr>
        <w:spacing w:line="440" w:lineRule="exact"/>
        <w:rPr>
          <w:rFonts w:ascii="仿宋" w:hAnsi="仿宋" w:eastAsia="仿宋" w:cs="仿宋"/>
          <w:color w:val="000000"/>
          <w:sz w:val="24"/>
        </w:rPr>
      </w:pPr>
    </w:p>
    <w:p w14:paraId="5B19CCD8">
      <w:pPr>
        <w:spacing w:line="440" w:lineRule="exact"/>
        <w:rPr>
          <w:rFonts w:hint="eastAsia" w:ascii="仿宋" w:hAnsi="仿宋" w:eastAsia="仿宋" w:cs="仿宋"/>
          <w:b/>
          <w:color w:val="000000"/>
          <w:sz w:val="24"/>
        </w:rPr>
      </w:pPr>
      <w:r>
        <w:rPr>
          <w:rFonts w:hint="eastAsia" w:ascii="仿宋" w:hAnsi="仿宋" w:eastAsia="仿宋" w:cs="仿宋"/>
          <w:color w:val="000000"/>
          <w:sz w:val="24"/>
        </w:rPr>
        <w:t>用途：具有组织切割、消融和止血等多种功能，适用于头颈开放手术、成人、儿童外耳道肿物切除以及止血等操作。</w:t>
      </w:r>
    </w:p>
    <w:p w14:paraId="24BA2002">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0D54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24453040">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14:paraId="477726E8">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1254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774D3708">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14:paraId="64B01D1C">
            <w:pPr>
              <w:spacing w:line="440" w:lineRule="exact"/>
              <w:rPr>
                <w:rFonts w:ascii="仿宋" w:hAnsi="仿宋" w:eastAsia="仿宋" w:cs="仿宋"/>
                <w:color w:val="000000"/>
                <w:sz w:val="24"/>
              </w:rPr>
            </w:pPr>
            <w:r>
              <w:rPr>
                <w:rFonts w:ascii="仿宋" w:hAnsi="仿宋" w:eastAsia="仿宋" w:cs="仿宋"/>
                <w:color w:val="000000"/>
                <w:sz w:val="24"/>
              </w:rPr>
              <w:t>配有耳内镜手术的专用灌注泵，同射频主机能联动并实现同步智能灌注功能</w:t>
            </w:r>
            <w:r>
              <w:rPr>
                <w:rFonts w:hint="eastAsia" w:ascii="仿宋" w:hAnsi="仿宋" w:eastAsia="仿宋" w:cs="仿宋"/>
                <w:color w:val="000000"/>
                <w:sz w:val="24"/>
              </w:rPr>
              <w:t>；</w:t>
            </w:r>
          </w:p>
        </w:tc>
      </w:tr>
      <w:tr w14:paraId="13F4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6DB337A">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14:paraId="4304DDB2">
            <w:pPr>
              <w:spacing w:line="440" w:lineRule="exact"/>
              <w:rPr>
                <w:rFonts w:ascii="仿宋" w:hAnsi="仿宋" w:eastAsia="仿宋" w:cs="仿宋"/>
                <w:color w:val="000000"/>
                <w:sz w:val="24"/>
              </w:rPr>
            </w:pPr>
            <w:r>
              <w:rPr>
                <w:rFonts w:ascii="仿宋" w:hAnsi="仿宋" w:eastAsia="仿宋" w:cs="仿宋"/>
                <w:color w:val="000000"/>
                <w:sz w:val="24"/>
              </w:rPr>
              <w:t>灌注泵流量调节0-280ml/min，通过安全压力值能将液体灌注入耳内，同时流量温和不损坏耳道结构</w:t>
            </w:r>
            <w:r>
              <w:rPr>
                <w:rFonts w:hint="eastAsia" w:ascii="仿宋" w:hAnsi="仿宋" w:eastAsia="仿宋" w:cs="仿宋"/>
                <w:color w:val="000000"/>
                <w:sz w:val="24"/>
              </w:rPr>
              <w:t>；</w:t>
            </w:r>
          </w:p>
        </w:tc>
      </w:tr>
      <w:tr w14:paraId="69E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59AFEEFD">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14:paraId="31CAE26F">
            <w:pPr>
              <w:spacing w:line="440" w:lineRule="exact"/>
              <w:rPr>
                <w:rFonts w:ascii="仿宋" w:hAnsi="仿宋" w:eastAsia="仿宋" w:cs="仿宋"/>
                <w:color w:val="000000"/>
                <w:sz w:val="24"/>
              </w:rPr>
            </w:pPr>
            <w:r>
              <w:rPr>
                <w:rFonts w:ascii="仿宋" w:hAnsi="仿宋" w:eastAsia="仿宋" w:cs="仿宋"/>
                <w:color w:val="000000"/>
                <w:sz w:val="24"/>
              </w:rPr>
              <w:t>体积小易控制，耳内镜术中可实现单人操作</w:t>
            </w:r>
            <w:r>
              <w:rPr>
                <w:rFonts w:hint="eastAsia" w:ascii="仿宋" w:hAnsi="仿宋" w:eastAsia="仿宋" w:cs="仿宋"/>
                <w:color w:val="000000"/>
                <w:sz w:val="24"/>
              </w:rPr>
              <w:t>；</w:t>
            </w:r>
          </w:p>
        </w:tc>
      </w:tr>
      <w:tr w14:paraId="68BE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3" w:type="dxa"/>
            <w:noWrap w:val="0"/>
            <w:vAlign w:val="top"/>
          </w:tcPr>
          <w:p w14:paraId="5DDD0CF0">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14:paraId="7FEC23C6">
            <w:pPr>
              <w:spacing w:line="440" w:lineRule="exact"/>
              <w:rPr>
                <w:rFonts w:ascii="仿宋" w:hAnsi="仿宋" w:eastAsia="仿宋" w:cs="仿宋"/>
                <w:color w:val="000000"/>
                <w:sz w:val="24"/>
              </w:rPr>
            </w:pPr>
            <w:r>
              <w:rPr>
                <w:rFonts w:ascii="仿宋" w:hAnsi="仿宋" w:eastAsia="仿宋" w:cs="仿宋"/>
                <w:color w:val="000000"/>
                <w:sz w:val="24"/>
              </w:rPr>
              <w:t>主机需具有等离子和射频双重功能，能提供相应证明</w:t>
            </w:r>
            <w:r>
              <w:rPr>
                <w:rFonts w:hint="eastAsia" w:ascii="仿宋" w:hAnsi="仿宋" w:eastAsia="仿宋" w:cs="仿宋"/>
                <w:color w:val="000000"/>
                <w:sz w:val="24"/>
              </w:rPr>
              <w:t>；</w:t>
            </w:r>
          </w:p>
        </w:tc>
      </w:tr>
      <w:tr w14:paraId="5BE3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EA7728A">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14:paraId="7FB92F77">
            <w:pPr>
              <w:spacing w:line="440" w:lineRule="exact"/>
              <w:rPr>
                <w:rFonts w:ascii="仿宋" w:hAnsi="仿宋" w:eastAsia="仿宋" w:cs="仿宋"/>
                <w:color w:val="000000"/>
                <w:sz w:val="24"/>
              </w:rPr>
            </w:pPr>
            <w:r>
              <w:rPr>
                <w:rFonts w:ascii="仿宋" w:hAnsi="仿宋" w:eastAsia="仿宋" w:cs="仿宋"/>
                <w:color w:val="000000"/>
                <w:sz w:val="24"/>
              </w:rPr>
              <w:t>主机能配合内窥镜使用，通过了国家医疗器械检测部门对耗材在内镜下使用的相关国家标准要求（GB9706.19）的检测，具有内镜下消融切割和止血功能，能提供对应的检测证明或者注册证上有明确说明</w:t>
            </w:r>
            <w:r>
              <w:rPr>
                <w:rFonts w:hint="eastAsia" w:ascii="仿宋" w:hAnsi="仿宋" w:eastAsia="仿宋" w:cs="仿宋"/>
                <w:color w:val="000000"/>
                <w:sz w:val="24"/>
              </w:rPr>
              <w:t>；</w:t>
            </w:r>
          </w:p>
        </w:tc>
      </w:tr>
      <w:tr w14:paraId="30A7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23BE710D">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599" w:type="dxa"/>
            <w:noWrap w:val="0"/>
            <w:vAlign w:val="top"/>
          </w:tcPr>
          <w:p w14:paraId="4FA7008B">
            <w:pPr>
              <w:spacing w:line="440" w:lineRule="exact"/>
              <w:rPr>
                <w:rFonts w:ascii="仿宋" w:hAnsi="仿宋" w:eastAsia="仿宋" w:cs="仿宋"/>
                <w:color w:val="000000"/>
                <w:sz w:val="24"/>
              </w:rPr>
            </w:pPr>
            <w:r>
              <w:rPr>
                <w:rFonts w:ascii="仿宋" w:hAnsi="仿宋" w:eastAsia="仿宋" w:cs="仿宋"/>
                <w:color w:val="000000"/>
                <w:sz w:val="24"/>
              </w:rPr>
              <w:t>主机工作时间可控制在500毫秒内</w:t>
            </w:r>
            <w:r>
              <w:rPr>
                <w:rFonts w:hint="eastAsia" w:ascii="仿宋" w:hAnsi="仿宋" w:eastAsia="仿宋" w:cs="仿宋"/>
                <w:color w:val="000000"/>
                <w:sz w:val="24"/>
              </w:rPr>
              <w:t>；</w:t>
            </w:r>
          </w:p>
        </w:tc>
      </w:tr>
      <w:tr w14:paraId="70F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1A3A115">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7599" w:type="dxa"/>
            <w:noWrap w:val="0"/>
            <w:vAlign w:val="top"/>
          </w:tcPr>
          <w:p w14:paraId="321D401F">
            <w:pPr>
              <w:spacing w:line="440" w:lineRule="exact"/>
              <w:rPr>
                <w:rFonts w:hint="eastAsia" w:ascii="仿宋" w:hAnsi="仿宋" w:eastAsia="仿宋" w:cs="仿宋"/>
                <w:color w:val="000000"/>
                <w:sz w:val="24"/>
              </w:rPr>
            </w:pPr>
            <w:r>
              <w:rPr>
                <w:rFonts w:hint="eastAsia" w:ascii="仿宋" w:hAnsi="仿宋" w:eastAsia="仿宋" w:cs="仿宋"/>
                <w:color w:val="000000"/>
                <w:sz w:val="24"/>
              </w:rPr>
              <w:t>主机工作频率100KHz，能提供产品的注册证或者检测报告；</w:t>
            </w:r>
          </w:p>
        </w:tc>
      </w:tr>
      <w:tr w14:paraId="4343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7CFAAA77">
            <w:pPr>
              <w:spacing w:line="44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7599" w:type="dxa"/>
            <w:noWrap w:val="0"/>
            <w:vAlign w:val="top"/>
          </w:tcPr>
          <w:p w14:paraId="619730E3">
            <w:pPr>
              <w:spacing w:line="440" w:lineRule="exact"/>
              <w:rPr>
                <w:rFonts w:hint="eastAsia" w:ascii="仿宋" w:hAnsi="仿宋" w:eastAsia="仿宋" w:cs="仿宋"/>
                <w:color w:val="000000"/>
                <w:sz w:val="24"/>
              </w:rPr>
            </w:pPr>
            <w:r>
              <w:rPr>
                <w:rFonts w:hint="eastAsia" w:ascii="仿宋" w:hAnsi="仿宋" w:eastAsia="仿宋" w:cs="仿宋"/>
                <w:color w:val="000000"/>
                <w:sz w:val="24"/>
              </w:rPr>
              <w:t>能联动流量控制器和灌注泵。其中流量控制器用于鼓膜打孔及侧颅底开放手术，灌注泵用于耳道持续灌流手术；</w:t>
            </w:r>
          </w:p>
        </w:tc>
      </w:tr>
      <w:tr w14:paraId="1E9B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669BFDD">
            <w:pPr>
              <w:spacing w:line="440" w:lineRule="exact"/>
              <w:jc w:val="center"/>
              <w:rPr>
                <w:rFonts w:ascii="仿宋" w:hAnsi="仿宋" w:eastAsia="仿宋" w:cs="仿宋"/>
                <w:color w:val="000000"/>
                <w:sz w:val="24"/>
              </w:rPr>
            </w:pPr>
            <w:r>
              <w:rPr>
                <w:rFonts w:hint="eastAsia" w:ascii="仿宋" w:hAnsi="仿宋" w:eastAsia="仿宋" w:cs="仿宋"/>
                <w:color w:val="000000"/>
                <w:sz w:val="24"/>
              </w:rPr>
              <w:t>9</w:t>
            </w:r>
          </w:p>
        </w:tc>
        <w:tc>
          <w:tcPr>
            <w:tcW w:w="7599" w:type="dxa"/>
            <w:noWrap w:val="0"/>
            <w:vAlign w:val="top"/>
          </w:tcPr>
          <w:p w14:paraId="099D4487">
            <w:pPr>
              <w:spacing w:line="440" w:lineRule="exact"/>
              <w:rPr>
                <w:rFonts w:hint="eastAsia" w:ascii="仿宋" w:hAnsi="仿宋" w:eastAsia="仿宋" w:cs="仿宋"/>
                <w:color w:val="000000"/>
                <w:sz w:val="24"/>
              </w:rPr>
            </w:pPr>
            <w:r>
              <w:rPr>
                <w:rFonts w:hint="eastAsia" w:ascii="仿宋" w:hAnsi="仿宋" w:eastAsia="仿宋" w:cs="仿宋"/>
                <w:color w:val="000000"/>
                <w:sz w:val="24"/>
              </w:rPr>
              <w:t>可提供专为儿童耳内镜手术下配合使用的等离子刀头，为耳内镜下手术实现无血化，保证视野清晰，充分保证耳内镜手术的安全及便捷性。 刀杆</w:t>
            </w:r>
            <w:r>
              <w:rPr>
                <w:rFonts w:hint="eastAsia" w:ascii="仿宋" w:hAnsi="仿宋" w:eastAsia="仿宋" w:cs="仿宋"/>
                <w:color w:val="000000"/>
                <w:sz w:val="24"/>
                <w:highlight w:val="none"/>
              </w:rPr>
              <w:t>长度100-105mm，刀杆直径1.0-1.4mm</w:t>
            </w:r>
            <w:r>
              <w:rPr>
                <w:rFonts w:hint="eastAsia" w:ascii="仿宋" w:hAnsi="仿宋" w:eastAsia="仿宋" w:cs="仿宋"/>
                <w:color w:val="000000"/>
                <w:sz w:val="24"/>
              </w:rPr>
              <w:t>，能顺利通过儿童耳道，前端有勾状、圆环状、剥离子等形状构成，满足皮瓣及组织剥离，瘤体切除等用途；</w:t>
            </w:r>
          </w:p>
        </w:tc>
      </w:tr>
      <w:tr w14:paraId="1691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2E0CCB6E">
            <w:pPr>
              <w:spacing w:line="44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7599" w:type="dxa"/>
            <w:noWrap w:val="0"/>
            <w:vAlign w:val="top"/>
          </w:tcPr>
          <w:p w14:paraId="54328137">
            <w:pPr>
              <w:spacing w:line="440" w:lineRule="exact"/>
              <w:rPr>
                <w:rFonts w:hint="eastAsia" w:ascii="仿宋" w:hAnsi="仿宋" w:eastAsia="仿宋" w:cs="仿宋"/>
                <w:color w:val="000000"/>
                <w:sz w:val="24"/>
              </w:rPr>
            </w:pPr>
            <w:r>
              <w:rPr>
                <w:rFonts w:hint="eastAsia" w:ascii="仿宋" w:hAnsi="仿宋" w:eastAsia="仿宋" w:cs="仿宋"/>
                <w:color w:val="000000"/>
                <w:sz w:val="24"/>
              </w:rPr>
              <w:t>侧颅底开放手术刀头，能满足滴注、吸引、切割、止血，刀头采用双极夹闭方式设计，双侧滴注，双侧吸引，双侧切割、止血的功能。刀头前段</w:t>
            </w:r>
            <w:r>
              <w:rPr>
                <w:rFonts w:hint="eastAsia" w:ascii="仿宋" w:hAnsi="仿宋" w:eastAsia="仿宋" w:cs="仿宋"/>
                <w:color w:val="000000"/>
                <w:sz w:val="24"/>
                <w:highlight w:val="none"/>
              </w:rPr>
              <w:t>直径0.1-0.3mm</w:t>
            </w:r>
            <w:r>
              <w:rPr>
                <w:rFonts w:hint="eastAsia" w:ascii="仿宋" w:hAnsi="仿宋" w:eastAsia="仿宋" w:cs="仿宋"/>
                <w:color w:val="000000"/>
                <w:sz w:val="24"/>
              </w:rPr>
              <w:t>,实现精准切割、精准剥离组织。刀杆抓手到刀头尖端小于130mm,使得操作者作用力精准，方便成人、儿童小区域精准手术；</w:t>
            </w:r>
          </w:p>
        </w:tc>
      </w:tr>
      <w:tr w14:paraId="755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BA1657B">
            <w:pPr>
              <w:spacing w:line="440" w:lineRule="exact"/>
              <w:jc w:val="center"/>
              <w:rPr>
                <w:rFonts w:ascii="仿宋" w:hAnsi="仿宋" w:eastAsia="仿宋" w:cs="仿宋"/>
                <w:color w:val="000000"/>
                <w:sz w:val="24"/>
              </w:rPr>
            </w:pPr>
            <w:r>
              <w:rPr>
                <w:rFonts w:hint="eastAsia" w:ascii="仿宋" w:hAnsi="仿宋" w:eastAsia="仿宋" w:cs="仿宋"/>
                <w:color w:val="000000"/>
                <w:sz w:val="24"/>
              </w:rPr>
              <w:t>11</w:t>
            </w:r>
          </w:p>
        </w:tc>
        <w:tc>
          <w:tcPr>
            <w:tcW w:w="7599" w:type="dxa"/>
            <w:noWrap w:val="0"/>
            <w:vAlign w:val="top"/>
          </w:tcPr>
          <w:p w14:paraId="7DEFC94E">
            <w:pPr>
              <w:spacing w:line="440" w:lineRule="exact"/>
              <w:rPr>
                <w:rFonts w:hint="eastAsia" w:ascii="仿宋" w:hAnsi="仿宋" w:eastAsia="仿宋" w:cs="仿宋"/>
                <w:color w:val="000000"/>
                <w:sz w:val="24"/>
              </w:rPr>
            </w:pPr>
            <w:r>
              <w:rPr>
                <w:rFonts w:hint="eastAsia" w:ascii="仿宋" w:hAnsi="仿宋" w:eastAsia="仿宋" w:cs="仿宋"/>
                <w:color w:val="000000"/>
                <w:sz w:val="24"/>
              </w:rPr>
              <w:t>能连接灌注泵、实现耳道下持续灌流手术，未通电状态下能实现冷器械皮瓣剥离功能，通电后能组织切割、肿瘤消融、鼓膜打孔、止血等功能；</w:t>
            </w:r>
          </w:p>
        </w:tc>
      </w:tr>
      <w:tr w14:paraId="0C6C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3BFE77B">
            <w:pPr>
              <w:spacing w:line="44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7599" w:type="dxa"/>
            <w:noWrap w:val="0"/>
            <w:vAlign w:val="top"/>
          </w:tcPr>
          <w:p w14:paraId="1AC22D2A">
            <w:pPr>
              <w:spacing w:line="440" w:lineRule="exact"/>
              <w:rPr>
                <w:rFonts w:hint="eastAsia" w:ascii="仿宋" w:hAnsi="仿宋" w:eastAsia="仿宋" w:cs="仿宋"/>
                <w:color w:val="000000"/>
                <w:sz w:val="24"/>
              </w:rPr>
            </w:pPr>
            <w:r>
              <w:rPr>
                <w:rFonts w:hint="eastAsia" w:ascii="仿宋" w:hAnsi="仿宋" w:eastAsia="仿宋" w:cs="仿宋"/>
                <w:color w:val="000000"/>
                <w:sz w:val="24"/>
              </w:rPr>
              <w:t>具备等离子技术的发明专利；</w:t>
            </w:r>
          </w:p>
        </w:tc>
      </w:tr>
      <w:tr w14:paraId="0328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5F44F73">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7599" w:type="dxa"/>
            <w:noWrap w:val="0"/>
            <w:vAlign w:val="top"/>
          </w:tcPr>
          <w:p w14:paraId="14C098C9">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设备使用年限≥5年；</w:t>
            </w:r>
            <w:bookmarkStart w:id="0" w:name="_GoBack"/>
            <w:bookmarkEnd w:id="0"/>
          </w:p>
        </w:tc>
      </w:tr>
    </w:tbl>
    <w:p w14:paraId="3C57484C">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32"/>
        <w:gridCol w:w="4092"/>
        <w:gridCol w:w="969"/>
        <w:gridCol w:w="920"/>
      </w:tblGrid>
      <w:tr w14:paraId="3D2B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2B01229">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532" w:type="dxa"/>
            <w:noWrap w:val="0"/>
            <w:vAlign w:val="top"/>
          </w:tcPr>
          <w:p w14:paraId="08D925AB">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4092" w:type="dxa"/>
            <w:noWrap w:val="0"/>
            <w:vAlign w:val="top"/>
          </w:tcPr>
          <w:p w14:paraId="464EF4A1">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969" w:type="dxa"/>
            <w:noWrap w:val="0"/>
            <w:vAlign w:val="top"/>
          </w:tcPr>
          <w:p w14:paraId="268A7F38">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920" w:type="dxa"/>
            <w:noWrap w:val="0"/>
            <w:vAlign w:val="top"/>
          </w:tcPr>
          <w:p w14:paraId="3EB02F7D">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61A9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11376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1532" w:type="dxa"/>
            <w:noWrap w:val="0"/>
            <w:vAlign w:val="top"/>
          </w:tcPr>
          <w:p w14:paraId="55090D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系统主机</w:t>
            </w:r>
          </w:p>
        </w:tc>
        <w:tc>
          <w:tcPr>
            <w:tcW w:w="4092" w:type="dxa"/>
            <w:noWrap w:val="0"/>
            <w:vAlign w:val="top"/>
          </w:tcPr>
          <w:p w14:paraId="4BC94E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声光数字显示及控制系统</w:t>
            </w:r>
          </w:p>
        </w:tc>
        <w:tc>
          <w:tcPr>
            <w:tcW w:w="969" w:type="dxa"/>
            <w:noWrap w:val="0"/>
            <w:vAlign w:val="top"/>
          </w:tcPr>
          <w:p w14:paraId="23E715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920" w:type="dxa"/>
            <w:noWrap w:val="0"/>
            <w:vAlign w:val="top"/>
          </w:tcPr>
          <w:p w14:paraId="13BF70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台</w:t>
            </w:r>
          </w:p>
        </w:tc>
      </w:tr>
      <w:tr w14:paraId="2981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B554D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w:t>
            </w:r>
          </w:p>
        </w:tc>
        <w:tc>
          <w:tcPr>
            <w:tcW w:w="1532" w:type="dxa"/>
            <w:noWrap w:val="0"/>
            <w:vAlign w:val="top"/>
          </w:tcPr>
          <w:p w14:paraId="285645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脚踏控制器</w:t>
            </w:r>
          </w:p>
        </w:tc>
        <w:tc>
          <w:tcPr>
            <w:tcW w:w="4092" w:type="dxa"/>
            <w:noWrap w:val="0"/>
            <w:vAlign w:val="top"/>
          </w:tcPr>
          <w:p w14:paraId="3938BF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p>
        </w:tc>
        <w:tc>
          <w:tcPr>
            <w:tcW w:w="969" w:type="dxa"/>
            <w:noWrap w:val="0"/>
            <w:vAlign w:val="top"/>
          </w:tcPr>
          <w:p w14:paraId="0AFA70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920" w:type="dxa"/>
            <w:noWrap w:val="0"/>
            <w:vAlign w:val="top"/>
          </w:tcPr>
          <w:p w14:paraId="0591D5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套</w:t>
            </w:r>
          </w:p>
        </w:tc>
      </w:tr>
      <w:tr w14:paraId="0C9A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C377C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p>
        </w:tc>
        <w:tc>
          <w:tcPr>
            <w:tcW w:w="1532" w:type="dxa"/>
            <w:noWrap w:val="0"/>
            <w:vAlign w:val="top"/>
          </w:tcPr>
          <w:p w14:paraId="0602DF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流量控制器</w:t>
            </w:r>
          </w:p>
        </w:tc>
        <w:tc>
          <w:tcPr>
            <w:tcW w:w="4092" w:type="dxa"/>
            <w:noWrap w:val="0"/>
            <w:vAlign w:val="top"/>
          </w:tcPr>
          <w:p w14:paraId="578EA1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p>
        </w:tc>
        <w:tc>
          <w:tcPr>
            <w:tcW w:w="969" w:type="dxa"/>
            <w:noWrap w:val="0"/>
            <w:vAlign w:val="top"/>
          </w:tcPr>
          <w:p w14:paraId="165645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920" w:type="dxa"/>
            <w:noWrap w:val="0"/>
            <w:vAlign w:val="top"/>
          </w:tcPr>
          <w:p w14:paraId="4A7B0E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套</w:t>
            </w:r>
          </w:p>
        </w:tc>
      </w:tr>
      <w:tr w14:paraId="5EE9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30279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w:t>
            </w:r>
          </w:p>
        </w:tc>
        <w:tc>
          <w:tcPr>
            <w:tcW w:w="1532" w:type="dxa"/>
            <w:noWrap w:val="0"/>
            <w:vAlign w:val="top"/>
          </w:tcPr>
          <w:p w14:paraId="5E85F0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电源电缆</w:t>
            </w:r>
          </w:p>
        </w:tc>
        <w:tc>
          <w:tcPr>
            <w:tcW w:w="4092" w:type="dxa"/>
            <w:noWrap w:val="0"/>
            <w:vAlign w:val="top"/>
          </w:tcPr>
          <w:p w14:paraId="7A2EA3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p>
        </w:tc>
        <w:tc>
          <w:tcPr>
            <w:tcW w:w="969" w:type="dxa"/>
            <w:noWrap w:val="0"/>
            <w:vAlign w:val="top"/>
          </w:tcPr>
          <w:p w14:paraId="4CBE86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920" w:type="dxa"/>
            <w:noWrap w:val="0"/>
            <w:vAlign w:val="top"/>
          </w:tcPr>
          <w:p w14:paraId="505F9E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个</w:t>
            </w:r>
          </w:p>
        </w:tc>
      </w:tr>
      <w:tr w14:paraId="64E1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6E44D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w:t>
            </w:r>
          </w:p>
        </w:tc>
        <w:tc>
          <w:tcPr>
            <w:tcW w:w="1532" w:type="dxa"/>
            <w:noWrap w:val="0"/>
            <w:vAlign w:val="top"/>
          </w:tcPr>
          <w:p w14:paraId="78FC67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耳科灌注泵</w:t>
            </w:r>
          </w:p>
        </w:tc>
        <w:tc>
          <w:tcPr>
            <w:tcW w:w="4092" w:type="dxa"/>
            <w:noWrap w:val="0"/>
            <w:vAlign w:val="top"/>
          </w:tcPr>
          <w:p w14:paraId="3B2723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p>
        </w:tc>
        <w:tc>
          <w:tcPr>
            <w:tcW w:w="969" w:type="dxa"/>
            <w:noWrap w:val="0"/>
            <w:vAlign w:val="top"/>
          </w:tcPr>
          <w:p w14:paraId="5B47EE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920" w:type="dxa"/>
            <w:noWrap w:val="0"/>
            <w:vAlign w:val="top"/>
          </w:tcPr>
          <w:p w14:paraId="34CE9D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个</w:t>
            </w:r>
          </w:p>
        </w:tc>
      </w:tr>
    </w:tbl>
    <w:p w14:paraId="67141762">
      <w:pPr>
        <w:pStyle w:val="12"/>
        <w:numPr>
          <w:ilvl w:val="0"/>
          <w:numId w:val="5"/>
        </w:numPr>
        <w:spacing w:line="440" w:lineRule="exact"/>
        <w:ind w:firstLineChars="0"/>
        <w:rPr>
          <w:rFonts w:hint="eastAsia" w:ascii="仿宋" w:hAnsi="仿宋" w:eastAsia="仿宋" w:cs="仿宋"/>
          <w:b/>
          <w:color w:val="000000"/>
          <w:sz w:val="24"/>
        </w:rPr>
      </w:pP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7"/>
        <w:gridCol w:w="4554"/>
      </w:tblGrid>
      <w:tr w14:paraId="5D55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0F7C0E5">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2967" w:type="dxa"/>
            <w:noWrap w:val="0"/>
            <w:vAlign w:val="top"/>
          </w:tcPr>
          <w:p w14:paraId="6A8897D1">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4554" w:type="dxa"/>
            <w:noWrap w:val="0"/>
            <w:vAlign w:val="top"/>
          </w:tcPr>
          <w:p w14:paraId="3FCA10BC">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r>
      <w:tr w14:paraId="19AA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9" w:type="dxa"/>
            <w:noWrap w:val="0"/>
            <w:vAlign w:val="top"/>
          </w:tcPr>
          <w:p w14:paraId="44E48B4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967" w:type="dxa"/>
            <w:noWrap w:val="0"/>
            <w:vAlign w:val="top"/>
          </w:tcPr>
          <w:p w14:paraId="16B74CF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sz w:val="24"/>
                <w:szCs w:val="24"/>
              </w:rPr>
            </w:pPr>
            <w:r>
              <w:rPr>
                <w:rFonts w:hint="eastAsia" w:ascii="仿宋" w:hAnsi="仿宋" w:eastAsia="仿宋" w:cs="仿宋"/>
                <w:color w:val="000000"/>
                <w:sz w:val="24"/>
                <w:szCs w:val="24"/>
              </w:rPr>
              <w:t>一次性射频消融电极针</w:t>
            </w:r>
          </w:p>
        </w:tc>
        <w:tc>
          <w:tcPr>
            <w:tcW w:w="4554" w:type="dxa"/>
            <w:noWrap w:val="0"/>
            <w:vAlign w:val="top"/>
          </w:tcPr>
          <w:p w14:paraId="48234A1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000000"/>
                <w:sz w:val="24"/>
                <w:szCs w:val="24"/>
              </w:rPr>
            </w:pPr>
            <w:r>
              <w:rPr>
                <w:rFonts w:hint="eastAsia" w:ascii="仿宋" w:hAnsi="仿宋" w:eastAsia="仿宋" w:cs="仿宋"/>
                <w:sz w:val="24"/>
                <w:szCs w:val="24"/>
              </w:rPr>
              <w:t>用于扁桃体、腺样体手术</w:t>
            </w:r>
          </w:p>
        </w:tc>
      </w:tr>
    </w:tbl>
    <w:p w14:paraId="6702F82B">
      <w:pPr>
        <w:spacing w:line="440" w:lineRule="exact"/>
        <w:rPr>
          <w:rFonts w:hint="eastAsia"/>
        </w:rPr>
      </w:pPr>
      <w:r>
        <w:rPr>
          <w:rFonts w:hint="eastAsia" w:ascii="仿宋" w:hAnsi="仿宋" w:eastAsia="仿宋" w:cs="仿宋"/>
          <w:bCs/>
          <w:color w:val="000000"/>
          <w:sz w:val="24"/>
        </w:rPr>
        <w:t>★1.所有耗材必须在广东省药品电子交易平台交易并且不高于平台的限价。</w:t>
      </w:r>
    </w:p>
    <w:p w14:paraId="6BC379D9">
      <w:pPr>
        <w:pStyle w:val="2"/>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所投设备的配套耗材必须有正规国家医保耗材码</w:t>
      </w:r>
      <w:r>
        <w:rPr>
          <w:rFonts w:hint="eastAsia" w:ascii="仿宋" w:hAnsi="仿宋" w:eastAsia="仿宋" w:cs="仿宋"/>
          <w:bCs/>
          <w:sz w:val="24"/>
        </w:rPr>
        <w:t>。</w:t>
      </w:r>
    </w:p>
    <w:p w14:paraId="061270FA">
      <w:pPr>
        <w:pStyle w:val="2"/>
        <w:rPr>
          <w:highlight w:val="yellow"/>
        </w:rPr>
      </w:pPr>
      <w:r>
        <w:rPr>
          <w:rFonts w:hint="eastAsia" w:ascii="仿宋" w:hAnsi="仿宋" w:eastAsia="仿宋" w:cs="仿宋"/>
          <w:bCs/>
          <w:sz w:val="24"/>
        </w:rPr>
        <w:t>3.</w:t>
      </w:r>
      <w:r>
        <w:rPr>
          <w:rFonts w:ascii="仿宋" w:hAnsi="仿宋" w:eastAsia="仿宋" w:cs="仿宋"/>
          <w:bCs/>
          <w:sz w:val="24"/>
        </w:rPr>
        <w:t>所投设备的配套耗材</w:t>
      </w:r>
      <w:r>
        <w:rPr>
          <w:rFonts w:hint="eastAsia" w:ascii="仿宋" w:hAnsi="仿宋" w:eastAsia="仿宋" w:cs="仿宋"/>
          <w:bCs/>
          <w:sz w:val="24"/>
        </w:rPr>
        <w:t>须</w:t>
      </w:r>
      <w:r>
        <w:rPr>
          <w:rFonts w:ascii="仿宋" w:hAnsi="仿宋" w:eastAsia="仿宋" w:cs="仿宋"/>
          <w:bCs/>
          <w:sz w:val="24"/>
        </w:rPr>
        <w:t>纳入广东省和中山市的医保目录库。</w:t>
      </w:r>
    </w:p>
    <w:p w14:paraId="138FE306">
      <w:pPr>
        <w:pStyle w:val="12"/>
        <w:spacing w:line="440" w:lineRule="exact"/>
        <w:ind w:firstLine="0" w:firstLineChars="0"/>
        <w:rPr>
          <w:rFonts w:hint="eastAsia" w:ascii="仿宋" w:hAnsi="仿宋" w:eastAsia="仿宋" w:cs="仿宋"/>
          <w:b/>
          <w:color w:val="000000"/>
          <w:sz w:val="24"/>
        </w:rPr>
      </w:pPr>
    </w:p>
    <w:p w14:paraId="1E4ABB6A">
      <w:pPr>
        <w:pStyle w:val="12"/>
        <w:spacing w:line="440" w:lineRule="exact"/>
        <w:ind w:firstLine="0" w:firstLineChars="0"/>
        <w:rPr>
          <w:rFonts w:ascii="仿宋" w:hAnsi="仿宋" w:eastAsia="仿宋" w:cs="仿宋"/>
          <w:b/>
          <w:color w:val="000000"/>
          <w:sz w:val="24"/>
        </w:rPr>
      </w:pPr>
      <w:r>
        <w:rPr>
          <w:rFonts w:hint="eastAsia" w:ascii="仿宋" w:hAnsi="仿宋" w:eastAsia="仿宋" w:cs="仿宋"/>
          <w:b/>
          <w:color w:val="000000"/>
          <w:sz w:val="24"/>
        </w:rPr>
        <w:t>六、商务要求：</w:t>
      </w:r>
    </w:p>
    <w:p w14:paraId="13950A4C">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08EEA08B">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179FBCCF">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w:t>
      </w:r>
    </w:p>
    <w:p w14:paraId="3528A305">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14:paraId="5FED7A00">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706225B">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0A0598A6">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356E676">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1A3CEDF7">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188B1542">
      <w:pPr>
        <w:spacing w:line="440" w:lineRule="exact"/>
        <w:rPr>
          <w:rFonts w:ascii="仿宋" w:hAnsi="仿宋" w:eastAsia="仿宋" w:cs="仿宋"/>
          <w:color w:val="000000"/>
          <w:sz w:val="24"/>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14:paraId="6D6CB92E">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6577CC27">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73AB2738">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14:paraId="2B04E1C6">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25CCC7E0">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5DEF65A6">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47C03C5D">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1880112B">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78E943FB">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2D118EA2">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0C5815B0">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两期支付，第一期：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14:paraId="2E8E47AF">
      <w:pPr>
        <w:rPr>
          <w:rFonts w:ascii="仿宋" w:hAnsi="仿宋" w:eastAsia="仿宋" w:cs="仿宋"/>
          <w:color w:val="000000"/>
          <w:sz w:val="24"/>
          <w:highlight w:val="cyan"/>
          <w:lang w:val="zh-CN"/>
        </w:rPr>
      </w:pPr>
    </w:p>
    <w:p w14:paraId="590E6E13">
      <w:pPr>
        <w:pStyle w:val="5"/>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901189"/>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C57CDB"/>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8</Pages>
  <Words>2991</Words>
  <Characters>3184</Characters>
  <Lines>5</Lines>
  <Paragraphs>1</Paragraphs>
  <TotalTime>0</TotalTime>
  <ScaleCrop>false</ScaleCrop>
  <LinksUpToDate>false</LinksUpToDate>
  <CharactersWithSpaces>3277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2024-08-21T01:06:58Z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3D822DBC6B0043ACAB372B0AB2E84D24</vt:lpwstr>
  </property>
</Properties>
</file>