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yellow"/>
                <w:u w:val="none"/>
                <w:lang w:val="en-US" w:eastAsia="zh-CN" w:bidi="ar"/>
              </w:rPr>
              <w:t>报线下优惠价</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pStyle w:val="2"/>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2792"/>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75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79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750" w:type="dxa"/>
            <w:noWrap w:val="0"/>
            <w:vAlign w:val="top"/>
          </w:tcPr>
          <w:p>
            <w:pPr>
              <w:spacing w:line="440" w:lineRule="exact"/>
              <w:jc w:val="center"/>
              <w:rPr>
                <w:rFonts w:ascii="宋体" w:hAnsi="宋体" w:cs="宋体"/>
                <w:kern w:val="0"/>
                <w:szCs w:val="21"/>
              </w:rPr>
            </w:pPr>
            <w:r>
              <w:rPr>
                <w:rFonts w:hint="eastAsia" w:ascii="宋体" w:hAnsi="宋体" w:cs="宋体"/>
                <w:kern w:val="0"/>
                <w:szCs w:val="21"/>
                <w:lang w:val="en-US" w:eastAsia="zh-CN"/>
              </w:rPr>
              <w:t>半导体</w:t>
            </w:r>
            <w:r>
              <w:rPr>
                <w:rFonts w:hint="eastAsia" w:ascii="宋体" w:hAnsi="宋体" w:cs="宋体"/>
                <w:kern w:val="0"/>
                <w:szCs w:val="21"/>
              </w:rPr>
              <w:t>激光治疗仪</w:t>
            </w:r>
          </w:p>
        </w:tc>
        <w:tc>
          <w:tcPr>
            <w:tcW w:w="2792" w:type="dxa"/>
            <w:noWrap w:val="0"/>
            <w:vAlign w:val="top"/>
          </w:tcPr>
          <w:p>
            <w:pPr>
              <w:spacing w:line="440" w:lineRule="exact"/>
              <w:jc w:val="center"/>
              <w:rPr>
                <w:rFonts w:ascii="宋体" w:hAnsi="宋体" w:cs="宋体"/>
                <w:kern w:val="0"/>
                <w:szCs w:val="21"/>
              </w:rPr>
            </w:pPr>
            <w:r>
              <w:rPr>
                <w:rFonts w:hint="eastAsia" w:ascii="宋体" w:hAnsi="宋体" w:cs="宋体"/>
                <w:kern w:val="0"/>
                <w:szCs w:val="21"/>
              </w:rPr>
              <w:t>儿科中医馆</w:t>
            </w:r>
          </w:p>
        </w:tc>
        <w:tc>
          <w:tcPr>
            <w:tcW w:w="2508" w:type="dxa"/>
            <w:noWrap w:val="0"/>
            <w:vAlign w:val="top"/>
          </w:tcPr>
          <w:p>
            <w:pPr>
              <w:spacing w:line="440" w:lineRule="exact"/>
              <w:jc w:val="center"/>
              <w:rPr>
                <w:rFonts w:hint="eastAsia" w:ascii="宋体" w:hAnsi="宋体" w:cs="宋体"/>
                <w:kern w:val="0"/>
                <w:szCs w:val="21"/>
              </w:rPr>
            </w:pPr>
            <w:r>
              <w:rPr>
                <w:rFonts w:hint="eastAsia" w:ascii="宋体" w:hAnsi="宋体" w:cs="宋体"/>
                <w:kern w:val="0"/>
                <w:szCs w:val="21"/>
              </w:rPr>
              <w:t>1</w:t>
            </w:r>
          </w:p>
        </w:tc>
      </w:tr>
    </w:tbl>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40" w:lineRule="exact"/>
              <w:rPr>
                <w:rFonts w:ascii="仿宋" w:hAnsi="仿宋" w:eastAsia="仿宋" w:cs="仿宋"/>
                <w:b/>
                <w:color w:val="000000"/>
                <w:sz w:val="24"/>
              </w:rPr>
            </w:pPr>
            <w:r>
              <w:rPr>
                <w:rFonts w:hint="eastAsia" w:ascii="宋体" w:hAnsi="宋体" w:cs="宋体"/>
                <w:kern w:val="0"/>
                <w:szCs w:val="21"/>
              </w:rPr>
              <w:t xml:space="preserve">激光波长： </w:t>
            </w:r>
            <w:bookmarkStart w:id="0" w:name="_Hlk166588047"/>
            <w:r>
              <w:rPr>
                <w:rFonts w:hint="eastAsia" w:ascii="宋体" w:hAnsi="宋体" w:cs="宋体"/>
                <w:kern w:val="0"/>
                <w:szCs w:val="21"/>
              </w:rPr>
              <w:t>≥</w:t>
            </w:r>
            <w:bookmarkEnd w:id="0"/>
            <w:r>
              <w:rPr>
                <w:rFonts w:hint="eastAsia" w:ascii="宋体" w:hAnsi="宋体" w:cs="宋体"/>
                <w:kern w:val="0"/>
                <w:szCs w:val="21"/>
              </w:rPr>
              <w:t>650nm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spacing w:line="440" w:lineRule="exact"/>
              <w:rPr>
                <w:rFonts w:ascii="仿宋" w:hAnsi="仿宋" w:eastAsia="仿宋" w:cs="仿宋"/>
                <w:b/>
                <w:color w:val="000000"/>
                <w:szCs w:val="21"/>
              </w:rPr>
            </w:pPr>
            <w:r>
              <w:rPr>
                <w:rFonts w:hint="eastAsia" w:ascii="宋体" w:hAnsi="宋体" w:cs="宋体"/>
                <w:kern w:val="0"/>
                <w:szCs w:val="21"/>
              </w:rPr>
              <w:t>每端激光输出功率：1</w:t>
            </w:r>
            <w:r>
              <w:rPr>
                <w:rFonts w:ascii="宋体" w:hAnsi="宋体" w:cs="宋体"/>
                <w:kern w:val="0"/>
                <w:szCs w:val="21"/>
              </w:rPr>
              <w:t>0</w:t>
            </w:r>
            <w:r>
              <w:rPr>
                <w:rFonts w:hint="eastAsia" w:ascii="宋体" w:hAnsi="宋体"/>
                <w:szCs w:val="21"/>
              </w:rPr>
              <w:t>m</w:t>
            </w:r>
            <w:r>
              <w:rPr>
                <w:rFonts w:ascii="宋体" w:hAnsi="宋体" w:cs="宋体"/>
                <w:kern w:val="0"/>
                <w:szCs w:val="21"/>
              </w:rPr>
              <w:t>w±20%/端</w:t>
            </w:r>
            <w:r>
              <w:rPr>
                <w:rFonts w:hint="eastAsia" w:ascii="宋体" w:hAnsi="宋体" w:cs="宋体"/>
                <w:kern w:val="0"/>
                <w:szCs w:val="21"/>
              </w:rPr>
              <w:t>，共计8端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spacing w:line="440" w:lineRule="exact"/>
              <w:rPr>
                <w:rFonts w:ascii="仿宋" w:hAnsi="仿宋" w:eastAsia="仿宋" w:cs="仿宋"/>
                <w:b/>
                <w:color w:val="000000"/>
                <w:szCs w:val="21"/>
              </w:rPr>
            </w:pPr>
            <w:r>
              <w:rPr>
                <w:rFonts w:hint="eastAsia" w:ascii="宋体" w:hAnsi="宋体" w:cs="宋体"/>
                <w:kern w:val="0"/>
                <w:szCs w:val="21"/>
              </w:rPr>
              <w:t>激光输出不稳定度：优于±10%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spacing w:line="440" w:lineRule="exact"/>
              <w:rPr>
                <w:rFonts w:ascii="仿宋" w:hAnsi="仿宋" w:eastAsia="仿宋" w:cs="仿宋"/>
                <w:b/>
                <w:color w:val="000000"/>
                <w:szCs w:val="21"/>
              </w:rPr>
            </w:pPr>
            <w:r>
              <w:rPr>
                <w:rFonts w:hint="eastAsia" w:ascii="宋体" w:hAnsi="宋体" w:cs="宋体"/>
                <w:kern w:val="0"/>
                <w:szCs w:val="21"/>
              </w:rPr>
              <w:t>光纤传输，≥</w:t>
            </w:r>
            <w:r>
              <w:rPr>
                <w:rFonts w:ascii="宋体" w:hAnsi="宋体" w:cs="宋体"/>
                <w:kern w:val="0"/>
                <w:szCs w:val="21"/>
              </w:rPr>
              <w:t>8</w:t>
            </w:r>
            <w:r>
              <w:rPr>
                <w:rFonts w:hint="eastAsia" w:ascii="宋体" w:hAnsi="宋体" w:cs="宋体"/>
                <w:kern w:val="0"/>
                <w:szCs w:val="21"/>
              </w:rPr>
              <w:t>头</w:t>
            </w:r>
            <w:r>
              <w:rPr>
                <w:rFonts w:ascii="宋体" w:hAnsi="宋体" w:cs="宋体"/>
                <w:kern w:val="0"/>
                <w:szCs w:val="21"/>
              </w:rPr>
              <w:t>光纤输出，</w:t>
            </w:r>
            <w:r>
              <w:rPr>
                <w:rFonts w:hint="eastAsia" w:ascii="宋体" w:hAnsi="宋体" w:cs="宋体"/>
                <w:kern w:val="0"/>
                <w:szCs w:val="21"/>
              </w:rPr>
              <w:t>光纤</w:t>
            </w:r>
            <w:r>
              <w:rPr>
                <w:rFonts w:ascii="宋体" w:hAnsi="宋体" w:cs="宋体"/>
                <w:kern w:val="0"/>
                <w:szCs w:val="21"/>
              </w:rPr>
              <w:t>传输效率不低于</w:t>
            </w:r>
            <w:r>
              <w:rPr>
                <w:rFonts w:hint="eastAsia" w:ascii="宋体" w:hAnsi="宋体" w:cs="宋体"/>
                <w:kern w:val="0"/>
                <w:szCs w:val="21"/>
              </w:rPr>
              <w:t>80</w:t>
            </w:r>
            <w:r>
              <w:rPr>
                <w:rFonts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rPr>
                <w:rFonts w:ascii="仿宋" w:hAnsi="仿宋" w:eastAsia="仿宋" w:cs="仿宋"/>
                <w:b/>
                <w:color w:val="000000"/>
                <w:szCs w:val="21"/>
              </w:rPr>
            </w:pPr>
            <w:r>
              <w:rPr>
                <w:rFonts w:hint="eastAsia" w:ascii="宋体" w:hAnsi="宋体" w:cs="宋体"/>
                <w:kern w:val="0"/>
                <w:szCs w:val="21"/>
              </w:rPr>
              <w:t>分档可调：分档，</w:t>
            </w:r>
            <w:r>
              <w:rPr>
                <w:rFonts w:ascii="宋体" w:hAnsi="宋体" w:cs="宋体"/>
                <w:kern w:val="0"/>
                <w:szCs w:val="21"/>
              </w:rPr>
              <w:t>4</w:t>
            </w:r>
            <w:r>
              <w:rPr>
                <w:rFonts w:hint="eastAsia" w:ascii="宋体" w:hAnsi="宋体" w:cs="宋体"/>
                <w:kern w:val="0"/>
                <w:szCs w:val="21"/>
              </w:rPr>
              <w:t>端、4端、8端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pPr>
              <w:spacing w:line="440" w:lineRule="exact"/>
              <w:rPr>
                <w:rFonts w:ascii="仿宋" w:hAnsi="仿宋" w:eastAsia="仿宋" w:cs="仿宋"/>
                <w:b/>
                <w:color w:val="000000"/>
                <w:szCs w:val="21"/>
              </w:rPr>
            </w:pPr>
            <w:r>
              <w:rPr>
                <w:rFonts w:hint="eastAsia" w:ascii="宋体" w:hAnsi="宋体" w:cs="宋体"/>
                <w:kern w:val="0"/>
                <w:szCs w:val="21"/>
              </w:rPr>
              <w:t>电源：220V，50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工作定时器：设定治疗时间终了，断光报响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治疗时间范围：0-99分钟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台车式结构，便于病房内移动使用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配置防护镜一副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治疗机</w:t>
            </w:r>
            <w:r>
              <w:rPr>
                <w:rFonts w:ascii="宋体" w:hAnsi="宋体" w:cs="宋体"/>
                <w:kern w:val="0"/>
                <w:szCs w:val="21"/>
              </w:rPr>
              <w:t>工作</w:t>
            </w:r>
            <w:r>
              <w:rPr>
                <w:rFonts w:hint="eastAsia" w:ascii="宋体" w:hAnsi="宋体" w:cs="宋体"/>
                <w:kern w:val="0"/>
                <w:szCs w:val="21"/>
              </w:rPr>
              <w:t>条件</w:t>
            </w:r>
            <w:r>
              <w:rPr>
                <w:rFonts w:ascii="宋体" w:hAnsi="宋体" w:cs="宋体"/>
                <w:kern w:val="0"/>
                <w:szCs w:val="21"/>
              </w:rPr>
              <w:t>：</w:t>
            </w:r>
            <w:r>
              <w:rPr>
                <w:rFonts w:hint="eastAsia" w:ascii="宋体" w:hAnsi="宋体" w:cs="宋体"/>
                <w:kern w:val="0"/>
                <w:szCs w:val="21"/>
              </w:rPr>
              <w:t>环境</w:t>
            </w:r>
            <w:r>
              <w:rPr>
                <w:rFonts w:ascii="宋体" w:hAnsi="宋体" w:cs="宋体"/>
                <w:kern w:val="0"/>
                <w:szCs w:val="21"/>
              </w:rPr>
              <w:t>温度-5</w:t>
            </w:r>
            <w:r>
              <w:rPr>
                <w:rFonts w:hint="eastAsia" w:ascii="宋体" w:hAnsi="宋体" w:cs="宋体"/>
                <w:kern w:val="0"/>
                <w:szCs w:val="21"/>
              </w:rPr>
              <w:t>～40度</w:t>
            </w:r>
            <w:r>
              <w:rPr>
                <w:rFonts w:ascii="宋体" w:hAnsi="宋体" w:cs="宋体"/>
                <w:kern w:val="0"/>
                <w:szCs w:val="21"/>
              </w:rPr>
              <w:t>，相对湿度不高于</w:t>
            </w:r>
            <w:r>
              <w:rPr>
                <w:rFonts w:hint="eastAsia" w:ascii="宋体" w:hAnsi="宋体" w:cs="宋体"/>
                <w:kern w:val="0"/>
                <w:szCs w:val="21"/>
              </w:rPr>
              <w:t>80</w:t>
            </w:r>
            <w:r>
              <w:rPr>
                <w:rFonts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仪器</w:t>
            </w:r>
            <w:r>
              <w:rPr>
                <w:rFonts w:ascii="宋体" w:hAnsi="宋体" w:cs="宋体"/>
                <w:kern w:val="0"/>
                <w:szCs w:val="21"/>
              </w:rPr>
              <w:t>使用年限：</w:t>
            </w:r>
            <w:r>
              <w:rPr>
                <w:rFonts w:hint="eastAsia" w:ascii="宋体" w:hAnsi="宋体" w:cs="宋体"/>
                <w:kern w:val="0"/>
                <w:szCs w:val="21"/>
              </w:rPr>
              <w:t>8年（提供</w:t>
            </w:r>
            <w:r>
              <w:rPr>
                <w:rFonts w:ascii="宋体" w:hAnsi="宋体" w:cs="宋体"/>
                <w:kern w:val="0"/>
                <w:szCs w:val="21"/>
              </w:rPr>
              <w:t>相应的产品使用说明佐证资料</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不低于2年</w:t>
            </w:r>
            <w:r>
              <w:rPr>
                <w:rFonts w:ascii="宋体" w:hAnsi="宋体" w:cs="宋体"/>
                <w:kern w:val="0"/>
                <w:szCs w:val="21"/>
              </w:rPr>
              <w:t>原厂整机</w:t>
            </w:r>
            <w:r>
              <w:rPr>
                <w:rFonts w:hint="eastAsia" w:ascii="宋体" w:hAnsi="宋体" w:cs="宋体"/>
                <w:kern w:val="0"/>
                <w:szCs w:val="21"/>
              </w:rPr>
              <w:t>免费</w:t>
            </w:r>
            <w:r>
              <w:rPr>
                <w:rFonts w:ascii="宋体" w:hAnsi="宋体" w:cs="宋体"/>
                <w:kern w:val="0"/>
                <w:szCs w:val="21"/>
              </w:rPr>
              <w:t>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14</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带</w:t>
            </w:r>
            <w:r>
              <w:rPr>
                <w:rFonts w:ascii="宋体" w:hAnsi="宋体" w:cs="宋体"/>
                <w:kern w:val="0"/>
                <w:szCs w:val="21"/>
              </w:rPr>
              <w:t>调节支杆和脑部穴位固定帽</w:t>
            </w:r>
            <w:r>
              <w:rPr>
                <w:rFonts w:hint="eastAsia" w:ascii="宋体" w:hAnsi="宋体" w:cs="宋体"/>
                <w:kern w:val="0"/>
                <w:szCs w:val="21"/>
              </w:rPr>
              <w:t>，方便</w:t>
            </w:r>
            <w:r>
              <w:rPr>
                <w:rFonts w:ascii="宋体" w:hAnsi="宋体" w:cs="宋体"/>
                <w:kern w:val="0"/>
                <w:szCs w:val="21"/>
              </w:rPr>
              <w:t>穴位固定和照射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599" w:type="dxa"/>
            <w:noWrap w:val="0"/>
            <w:vAlign w:val="top"/>
          </w:tcPr>
          <w:p>
            <w:pPr>
              <w:spacing w:line="440" w:lineRule="exact"/>
              <w:rPr>
                <w:rFonts w:hint="eastAsia" w:ascii="仿宋" w:hAnsi="仿宋" w:eastAsia="仿宋" w:cs="仿宋"/>
                <w:b/>
                <w:color w:val="000000"/>
                <w:szCs w:val="21"/>
              </w:rPr>
            </w:pPr>
            <w:r>
              <w:rPr>
                <w:rFonts w:hint="eastAsia" w:ascii="宋体" w:hAnsi="宋体" w:cs="宋体"/>
                <w:kern w:val="0"/>
                <w:szCs w:val="21"/>
              </w:rPr>
              <w:t>注册</w:t>
            </w:r>
            <w:r>
              <w:rPr>
                <w:rFonts w:ascii="宋体" w:hAnsi="宋体" w:cs="宋体"/>
                <w:kern w:val="0"/>
                <w:szCs w:val="21"/>
              </w:rPr>
              <w:t>临床应用范围：治疗仪用于对患者体表及近体表局部炎症、感染伤口照射治疗及传统针灸适应症的穴位照射治疗</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w:t>
      </w:r>
      <w:r>
        <w:rPr>
          <w:rFonts w:hint="eastAsia" w:ascii="仿宋" w:hAnsi="仿宋" w:eastAsia="仿宋" w:cs="仿宋"/>
          <w:color w:val="000000"/>
          <w:sz w:val="24"/>
          <w:highlight w:val="none"/>
        </w:rPr>
        <w:t>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期支付，第一期：合同签订后，乙方按合同协议时间提供货物，并经协议规定的验收人员书面确认验收合格后，开具全额发票，甲方确认无误后一个月内支付合同总金额的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5%的款项。第三期：合同总金额的5%的款项在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bookmarkStart w:id="1" w:name="_GoBack"/>
      <w:bookmarkEnd w:id="1"/>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华文黑体">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BDA123E"/>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550D33"/>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9B2FE1"/>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 w:type="paragraph" w:customStyle="1" w:styleId="16">
    <w:name w:val="Pa16"/>
    <w:basedOn w:val="1"/>
    <w:next w:val="1"/>
    <w:qFormat/>
    <w:uiPriority w:val="0"/>
    <w:pPr>
      <w:autoSpaceDE w:val="0"/>
      <w:autoSpaceDN w:val="0"/>
      <w:adjustRightInd w:val="0"/>
      <w:spacing w:line="101" w:lineRule="atLeast"/>
      <w:jc w:val="left"/>
    </w:pPr>
    <w:rPr>
      <w:rFonts w:ascii="华文黑体" w:eastAsia="华文黑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676</Words>
  <Characters>763</Characters>
  <Lines>5</Lines>
  <Paragraphs>1</Paragraphs>
  <TotalTime>0</TotalTime>
  <ScaleCrop>false</ScaleCrop>
  <LinksUpToDate>false</LinksUpToDate>
  <CharactersWithSpaces>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2024-05-27T01:49:15Z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29425AA215704E6192303FE5E1CA8308_13</vt:lpwstr>
  </property>
</Properties>
</file>