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yellow"/>
                <w:u w:val="none"/>
                <w:lang w:val="en-US" w:eastAsia="zh-CN" w:bidi="ar"/>
              </w:rPr>
              <w:t>填写线下优惠价</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yellow"/>
                <w:u w:val="none"/>
                <w:lang w:val="en-US" w:eastAsia="zh-CN"/>
              </w:rPr>
              <w:t>合计每人份价格：      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478"/>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47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29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jc w:val="center"/>
              <w:rPr>
                <w:rFonts w:ascii="仿宋" w:hAnsi="仿宋" w:eastAsia="仿宋" w:cs="仿宋"/>
                <w:color w:val="000000"/>
                <w:sz w:val="24"/>
              </w:rPr>
            </w:pPr>
            <w:bookmarkStart w:id="0" w:name="_GoBack"/>
            <w:r>
              <w:rPr>
                <w:rFonts w:hint="eastAsia" w:ascii="仿宋" w:hAnsi="仿宋" w:eastAsia="仿宋" w:cs="仿宋"/>
                <w:color w:val="000000"/>
                <w:sz w:val="24"/>
              </w:rPr>
              <w:t>体质辨识健康管理系统</w:t>
            </w:r>
            <w:bookmarkEnd w:id="0"/>
          </w:p>
        </w:tc>
        <w:tc>
          <w:tcPr>
            <w:tcW w:w="247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女性保健与康复中心</w:t>
            </w:r>
          </w:p>
        </w:tc>
        <w:tc>
          <w:tcPr>
            <w:tcW w:w="2298"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1套</w:t>
            </w:r>
          </w:p>
        </w:tc>
      </w:tr>
    </w:tbl>
    <w:p>
      <w:pPr>
        <w:spacing w:line="440" w:lineRule="exact"/>
        <w:rPr>
          <w:rFonts w:ascii="仿宋" w:hAnsi="仿宋" w:eastAsia="仿宋" w:cs="仿宋"/>
          <w:color w:val="000000"/>
          <w:sz w:val="24"/>
        </w:rPr>
      </w:pP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用途：协助医疗机构开展中医预防保健服务及中医特色诊疗服务：</w:t>
      </w:r>
    </w:p>
    <w:p>
      <w:pPr>
        <w:numPr>
          <w:ilvl w:val="0"/>
          <w:numId w:val="5"/>
        </w:num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为客户提供健康状态辨识及风险评估</w:t>
      </w:r>
    </w:p>
    <w:p>
      <w:pPr>
        <w:numPr>
          <w:ilvl w:val="0"/>
          <w:numId w:val="5"/>
        </w:num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为客户提供中医体检和评估服务;</w:t>
      </w:r>
    </w:p>
    <w:p>
      <w:pPr>
        <w:numPr>
          <w:ilvl w:val="0"/>
          <w:numId w:val="5"/>
        </w:num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进行客户健康状态信息管理:</w:t>
      </w:r>
    </w:p>
    <w:p>
      <w:pPr>
        <w:numPr>
          <w:ilvl w:val="0"/>
          <w:numId w:val="5"/>
        </w:numPr>
        <w:spacing w:line="440" w:lineRule="exact"/>
        <w:ind w:firstLine="480" w:firstLineChars="200"/>
      </w:pPr>
      <w:r>
        <w:rPr>
          <w:rFonts w:hint="eastAsia" w:ascii="仿宋" w:hAnsi="仿宋" w:eastAsia="仿宋" w:cs="仿宋"/>
          <w:color w:val="000000"/>
          <w:sz w:val="24"/>
        </w:rPr>
        <w:t>针对不同体质提供完善的调理干预方案。</w:t>
      </w:r>
    </w:p>
    <w:p>
      <w:pPr>
        <w:pStyle w:val="3"/>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hint="eastAsia" w:ascii="仿宋" w:hAnsi="仿宋" w:eastAsia="仿宋" w:cs="仿宋"/>
                <w:strike w:val="0"/>
                <w:dstrike w:val="0"/>
                <w:color w:val="auto"/>
                <w:sz w:val="24"/>
              </w:rPr>
            </w:pPr>
            <w:r>
              <w:rPr>
                <w:rFonts w:hint="eastAsia" w:ascii="仿宋" w:hAnsi="仿宋" w:eastAsia="仿宋" w:cs="仿宋"/>
                <w:strike w:val="0"/>
                <w:dstrike w:val="0"/>
                <w:color w:val="auto"/>
                <w:sz w:val="24"/>
              </w:rPr>
              <w:t>1</w:t>
            </w:r>
          </w:p>
        </w:tc>
        <w:tc>
          <w:tcPr>
            <w:tcW w:w="7599" w:type="dxa"/>
            <w:noWrap w:val="0"/>
            <w:vAlign w:val="top"/>
          </w:tcPr>
          <w:p>
            <w:pPr>
              <w:spacing w:line="440" w:lineRule="exact"/>
              <w:rPr>
                <w:rFonts w:hint="eastAsia" w:ascii="仿宋" w:hAnsi="仿宋" w:eastAsia="仿宋" w:cs="仿宋"/>
                <w:strike/>
                <w:dstrike w:val="0"/>
                <w:color w:val="auto"/>
                <w:sz w:val="24"/>
              </w:rPr>
            </w:pPr>
            <w:r>
              <w:rPr>
                <w:rFonts w:hint="eastAsia" w:ascii="仿宋" w:hAnsi="仿宋" w:eastAsia="仿宋" w:cs="仿宋"/>
                <w:color w:val="auto"/>
                <w:sz w:val="24"/>
                <w:lang w:val="en-US" w:eastAsia="zh-CN"/>
              </w:rPr>
              <w:t>≥</w:t>
            </w:r>
            <w:r>
              <w:rPr>
                <w:rFonts w:hint="eastAsia" w:ascii="仿宋" w:hAnsi="仿宋" w:eastAsia="仿宋" w:cs="仿宋"/>
                <w:color w:val="auto"/>
                <w:sz w:val="24"/>
              </w:rPr>
              <w:t xml:space="preserve">22寸彩色液晶台式机。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hint="eastAsia" w:ascii="仿宋" w:hAnsi="仿宋" w:eastAsia="仿宋" w:cs="仿宋"/>
                <w:strike w:val="0"/>
                <w:dstrike w:val="0"/>
                <w:color w:val="auto"/>
                <w:sz w:val="24"/>
              </w:rPr>
            </w:pPr>
            <w:r>
              <w:rPr>
                <w:rFonts w:hint="eastAsia" w:ascii="仿宋" w:hAnsi="仿宋" w:eastAsia="仿宋" w:cs="仿宋"/>
                <w:strike w:val="0"/>
                <w:dstrike w:val="0"/>
                <w:color w:val="auto"/>
                <w:sz w:val="24"/>
              </w:rPr>
              <w:t>2</w:t>
            </w:r>
          </w:p>
        </w:tc>
        <w:tc>
          <w:tcPr>
            <w:tcW w:w="7599" w:type="dxa"/>
            <w:noWrap w:val="0"/>
            <w:vAlign w:val="top"/>
          </w:tcPr>
          <w:p>
            <w:pPr>
              <w:spacing w:line="440" w:lineRule="exact"/>
              <w:rPr>
                <w:rFonts w:hint="eastAsia" w:ascii="仿宋" w:hAnsi="仿宋" w:eastAsia="仿宋" w:cs="仿宋"/>
                <w:strike/>
                <w:dstrike w:val="0"/>
                <w:color w:val="auto"/>
                <w:sz w:val="24"/>
              </w:rPr>
            </w:pPr>
            <w:r>
              <w:rPr>
                <w:rFonts w:hint="eastAsia" w:ascii="仿宋" w:hAnsi="仿宋" w:eastAsia="仿宋" w:cs="仿宋"/>
                <w:color w:val="auto"/>
                <w:sz w:val="24"/>
              </w:rPr>
              <w:t xml:space="preserve">语音提示操作。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7599" w:type="dxa"/>
            <w:noWrap w:val="0"/>
            <w:vAlign w:val="top"/>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已病和未病双系统体质筛查。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★九种基本体质判定及二十五种细分体质。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★每种细分体质的十四项干预调理方案。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7599" w:type="dxa"/>
            <w:noWrap w:val="0"/>
            <w:vAlign w:val="top"/>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二十五种细分体质的动态筛查对比。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7</w:t>
            </w:r>
          </w:p>
        </w:tc>
        <w:tc>
          <w:tcPr>
            <w:tcW w:w="7599" w:type="dxa"/>
            <w:noWrap w:val="0"/>
            <w:vAlign w:val="top"/>
          </w:tcPr>
          <w:p>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具备</w:t>
            </w:r>
            <w:r>
              <w:rPr>
                <w:rFonts w:hint="eastAsia" w:ascii="仿宋" w:hAnsi="仿宋" w:eastAsia="仿宋" w:cs="仿宋"/>
                <w:color w:val="auto"/>
                <w:sz w:val="24"/>
              </w:rPr>
              <w:t xml:space="preserve">档案储存、分析、打印功能。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79" w:type="dxa"/>
            <w:noWrap w:val="0"/>
            <w:vAlign w:val="center"/>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8</w:t>
            </w:r>
          </w:p>
        </w:tc>
        <w:tc>
          <w:tcPr>
            <w:tcW w:w="7599" w:type="dxa"/>
            <w:noWrap w:val="0"/>
            <w:vAlign w:val="top"/>
          </w:tcPr>
          <w:p>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具备</w:t>
            </w:r>
            <w:r>
              <w:rPr>
                <w:rFonts w:hint="eastAsia" w:ascii="仿宋" w:hAnsi="仿宋" w:eastAsia="仿宋" w:cs="仿宋"/>
                <w:color w:val="auto"/>
                <w:sz w:val="24"/>
              </w:rPr>
              <w:t xml:space="preserve">软件升级、远程联网会诊功能。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9</w:t>
            </w:r>
          </w:p>
        </w:tc>
        <w:tc>
          <w:tcPr>
            <w:tcW w:w="7599" w:type="dxa"/>
            <w:noWrap w:val="0"/>
            <w:vAlign w:val="top"/>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答题反应时间＜500毫秒。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7599" w:type="dxa"/>
            <w:noWrap w:val="0"/>
            <w:vAlign w:val="top"/>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九种基本体质筛查。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ascii="仿宋" w:hAnsi="仿宋" w:eastAsia="仿宋" w:cs="仿宋"/>
                <w:strike/>
                <w:dstrike w:val="0"/>
                <w:color w:val="FF0000"/>
                <w:sz w:val="24"/>
              </w:rPr>
            </w:pPr>
            <w:r>
              <w:rPr>
                <w:rFonts w:hint="eastAsia" w:ascii="仿宋" w:hAnsi="仿宋" w:eastAsia="仿宋" w:cs="仿宋"/>
                <w:strike w:val="0"/>
                <w:dstrike w:val="0"/>
                <w:color w:val="auto"/>
                <w:sz w:val="24"/>
              </w:rPr>
              <w:t>11</w:t>
            </w:r>
          </w:p>
        </w:tc>
        <w:tc>
          <w:tcPr>
            <w:tcW w:w="7599" w:type="dxa"/>
            <w:noWrap w:val="0"/>
            <w:vAlign w:val="top"/>
          </w:tcPr>
          <w:p>
            <w:pPr>
              <w:spacing w:line="440" w:lineRule="exact"/>
              <w:rPr>
                <w:rFonts w:hint="eastAsia" w:ascii="仿宋" w:hAnsi="仿宋" w:eastAsia="仿宋" w:cs="仿宋"/>
                <w:strike/>
                <w:dstrike w:val="0"/>
                <w:color w:val="auto"/>
                <w:sz w:val="24"/>
              </w:rPr>
            </w:pPr>
            <w:r>
              <w:rPr>
                <w:rFonts w:hint="eastAsia" w:ascii="仿宋" w:hAnsi="仿宋" w:eastAsia="仿宋" w:cs="仿宋"/>
                <w:color w:val="auto"/>
                <w:sz w:val="24"/>
              </w:rPr>
              <w:t>每种体质均有</w:t>
            </w:r>
            <w:r>
              <w:rPr>
                <w:rFonts w:hint="eastAsia" w:ascii="仿宋" w:hAnsi="仿宋" w:eastAsia="仿宋" w:cs="仿宋"/>
                <w:color w:val="auto"/>
                <w:sz w:val="24"/>
                <w:lang w:val="en-US" w:eastAsia="zh-CN"/>
              </w:rPr>
              <w:t>≥</w:t>
            </w:r>
            <w:r>
              <w:rPr>
                <w:rFonts w:hint="eastAsia" w:ascii="仿宋" w:hAnsi="仿宋" w:eastAsia="仿宋" w:cs="仿宋"/>
                <w:color w:val="auto"/>
                <w:sz w:val="24"/>
              </w:rPr>
              <w:t>六项基本调理措施及</w:t>
            </w:r>
            <w:r>
              <w:rPr>
                <w:rFonts w:hint="eastAsia" w:ascii="仿宋" w:hAnsi="仿宋" w:eastAsia="仿宋" w:cs="仿宋"/>
                <w:color w:val="auto"/>
                <w:sz w:val="24"/>
                <w:lang w:val="en-US" w:eastAsia="zh-CN"/>
              </w:rPr>
              <w:t>≥</w:t>
            </w:r>
            <w:r>
              <w:rPr>
                <w:rFonts w:hint="eastAsia" w:ascii="仿宋" w:hAnsi="仿宋" w:eastAsia="仿宋" w:cs="仿宋"/>
                <w:color w:val="auto"/>
                <w:sz w:val="24"/>
              </w:rPr>
              <w:t xml:space="preserve">八项干预方法。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12</w:t>
            </w:r>
          </w:p>
        </w:tc>
        <w:tc>
          <w:tcPr>
            <w:tcW w:w="7599" w:type="dxa"/>
            <w:noWrap w:val="0"/>
            <w:vAlign w:val="top"/>
          </w:tcPr>
          <w:p>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具备</w:t>
            </w:r>
            <w:r>
              <w:rPr>
                <w:rFonts w:hint="eastAsia" w:ascii="仿宋" w:hAnsi="仿宋" w:eastAsia="仿宋" w:cs="仿宋"/>
                <w:color w:val="auto"/>
                <w:sz w:val="24"/>
              </w:rPr>
              <w:t xml:space="preserve">体质成因解读禁忌、易发疾病风险预测及干预前后对比功能。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13</w:t>
            </w:r>
          </w:p>
        </w:tc>
        <w:tc>
          <w:tcPr>
            <w:tcW w:w="7599" w:type="dxa"/>
            <w:noWrap w:val="0"/>
            <w:vAlign w:val="top"/>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软件操作流程化设计，通过问卷形式，量表录入Excel表格导入多种输入方式</w:t>
            </w:r>
            <w:r>
              <w:rPr>
                <w:rFonts w:hint="eastAsia" w:ascii="仿宋" w:hAnsi="仿宋" w:eastAsia="仿宋" w:cs="仿宋"/>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ascii="仿宋" w:hAnsi="仿宋" w:eastAsia="仿宋" w:cs="仿宋"/>
                <w:strike/>
                <w:dstrike w:val="0"/>
                <w:color w:val="FF0000"/>
                <w:sz w:val="24"/>
              </w:rPr>
            </w:pPr>
            <w:r>
              <w:rPr>
                <w:rFonts w:hint="eastAsia" w:ascii="仿宋" w:hAnsi="仿宋" w:eastAsia="仿宋" w:cs="仿宋"/>
                <w:strike w:val="0"/>
                <w:dstrike w:val="0"/>
                <w:color w:val="auto"/>
                <w:sz w:val="24"/>
              </w:rPr>
              <w:t>14</w:t>
            </w:r>
          </w:p>
        </w:tc>
        <w:tc>
          <w:tcPr>
            <w:tcW w:w="7599" w:type="dxa"/>
            <w:noWrap w:val="0"/>
            <w:vAlign w:val="top"/>
          </w:tcPr>
          <w:p>
            <w:pPr>
              <w:spacing w:line="440" w:lineRule="exact"/>
              <w:rPr>
                <w:rFonts w:hint="eastAsia" w:ascii="仿宋" w:hAnsi="仿宋" w:eastAsia="仿宋" w:cs="仿宋"/>
                <w:strike/>
                <w:dstrike w:val="0"/>
                <w:color w:val="FF0000"/>
                <w:sz w:val="24"/>
              </w:rPr>
            </w:pPr>
            <w:r>
              <w:rPr>
                <w:rFonts w:hint="eastAsia" w:ascii="仿宋" w:hAnsi="仿宋" w:eastAsia="仿宋" w:cs="仿宋"/>
                <w:color w:val="000000"/>
                <w:sz w:val="24"/>
              </w:rPr>
              <w:t xml:space="preserve">设置有打印机接口、USB接口。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15</w:t>
            </w:r>
          </w:p>
        </w:tc>
        <w:tc>
          <w:tcPr>
            <w:tcW w:w="7599"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 xml:space="preserve">加密狗接口。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16</w:t>
            </w:r>
          </w:p>
        </w:tc>
        <w:tc>
          <w:tcPr>
            <w:tcW w:w="7599"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 xml:space="preserve">具有档案储存、查询、打印功能，语音提示功能。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17</w:t>
            </w:r>
          </w:p>
        </w:tc>
        <w:tc>
          <w:tcPr>
            <w:tcW w:w="7599" w:type="dxa"/>
            <w:noWrap w:val="0"/>
            <w:vAlign w:val="top"/>
          </w:tcPr>
          <w:p>
            <w:pPr>
              <w:spacing w:line="440" w:lineRule="exact"/>
              <w:rPr>
                <w:rFonts w:hint="eastAsia" w:ascii="仿宋" w:hAnsi="仿宋" w:eastAsia="仿宋" w:cs="仿宋"/>
                <w:color w:val="000000"/>
                <w:sz w:val="24"/>
                <w:lang w:eastAsia="zh-CN"/>
              </w:rPr>
            </w:pPr>
            <w:r>
              <w:rPr>
                <w:rFonts w:hint="eastAsia" w:ascii="仿宋" w:hAnsi="仿宋" w:eastAsia="仿宋" w:cs="仿宋"/>
                <w:color w:val="000000"/>
                <w:sz w:val="24"/>
              </w:rPr>
              <w:t>CPU：i</w:t>
            </w:r>
            <w:r>
              <w:rPr>
                <w:rFonts w:hint="eastAsia" w:ascii="仿宋" w:hAnsi="仿宋" w:eastAsia="仿宋" w:cs="仿宋"/>
                <w:color w:val="auto"/>
                <w:sz w:val="24"/>
              </w:rPr>
              <w:t>nteri5处理器，内存</w:t>
            </w:r>
            <w:r>
              <w:rPr>
                <w:rFonts w:hint="eastAsia" w:ascii="仿宋" w:hAnsi="仿宋" w:eastAsia="仿宋" w:cs="仿宋"/>
                <w:color w:val="auto"/>
                <w:sz w:val="24"/>
                <w:lang w:val="en-US" w:eastAsia="zh-CN"/>
              </w:rPr>
              <w:t>≥</w:t>
            </w:r>
            <w:r>
              <w:rPr>
                <w:rFonts w:hint="eastAsia" w:ascii="仿宋" w:hAnsi="仿宋" w:eastAsia="仿宋" w:cs="仿宋"/>
                <w:color w:val="auto"/>
                <w:sz w:val="24"/>
              </w:rPr>
              <w:t>8G，硬盘ssd固态，显存</w:t>
            </w:r>
            <w:r>
              <w:rPr>
                <w:rFonts w:hint="eastAsia" w:ascii="仿宋" w:hAnsi="仿宋" w:eastAsia="仿宋" w:cs="仿宋"/>
                <w:color w:val="auto"/>
                <w:sz w:val="24"/>
                <w:lang w:val="en-US" w:eastAsia="zh-CN"/>
              </w:rPr>
              <w:t>≥</w:t>
            </w:r>
            <w:r>
              <w:rPr>
                <w:rFonts w:hint="eastAsia" w:ascii="仿宋" w:hAnsi="仿宋" w:eastAsia="仿宋" w:cs="仿宋"/>
                <w:color w:val="auto"/>
                <w:sz w:val="24"/>
              </w:rPr>
              <w:t>1G</w:t>
            </w:r>
            <w:r>
              <w:rPr>
                <w:rFonts w:hint="eastAsia" w:ascii="仿宋" w:hAnsi="仿宋" w:eastAsia="仿宋"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18</w:t>
            </w:r>
          </w:p>
        </w:tc>
        <w:tc>
          <w:tcPr>
            <w:tcW w:w="7599" w:type="dxa"/>
            <w:noWrap w:val="0"/>
            <w:vAlign w:val="top"/>
          </w:tcPr>
          <w:p>
            <w:pPr>
              <w:spacing w:line="440" w:lineRule="exact"/>
              <w:rPr>
                <w:rFonts w:hint="eastAsia" w:ascii="仿宋" w:hAnsi="仿宋" w:eastAsia="仿宋" w:cs="仿宋"/>
                <w:color w:val="auto"/>
                <w:sz w:val="24"/>
              </w:rPr>
            </w:pPr>
            <w:r>
              <w:rPr>
                <w:rFonts w:hint="eastAsia" w:ascii="仿宋" w:hAnsi="仿宋" w:eastAsia="仿宋" w:cs="仿宋"/>
                <w:color w:val="auto"/>
                <w:sz w:val="24"/>
              </w:rPr>
              <w:t>分辨率</w:t>
            </w:r>
            <w:r>
              <w:rPr>
                <w:rFonts w:hint="eastAsia" w:ascii="仿宋" w:hAnsi="仿宋" w:eastAsia="仿宋" w:cs="仿宋"/>
                <w:color w:val="auto"/>
                <w:sz w:val="24"/>
                <w:lang w:val="en-US" w:eastAsia="zh-CN"/>
              </w:rPr>
              <w:t>≥</w:t>
            </w:r>
            <w:r>
              <w:rPr>
                <w:rFonts w:hint="eastAsia" w:ascii="仿宋" w:hAnsi="仿宋" w:eastAsia="仿宋" w:cs="仿宋"/>
                <w:color w:val="auto"/>
                <w:sz w:val="24"/>
              </w:rPr>
              <w:t xml:space="preserve">1920×1080，IE7.0以上版本。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19</w:t>
            </w:r>
          </w:p>
        </w:tc>
        <w:tc>
          <w:tcPr>
            <w:tcW w:w="7599" w:type="dxa"/>
            <w:noWrap w:val="0"/>
            <w:vAlign w:val="top"/>
          </w:tcPr>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对COTS软件产品提供支持。</w:t>
            </w:r>
          </w:p>
        </w:tc>
      </w:tr>
    </w:tbl>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0" w:type="auto"/>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207"/>
        <w:gridCol w:w="4490"/>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207"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449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c>
          <w:tcPr>
            <w:tcW w:w="96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92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207"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主机</w:t>
            </w:r>
          </w:p>
        </w:tc>
        <w:tc>
          <w:tcPr>
            <w:tcW w:w="4490"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auto"/>
                <w:sz w:val="24"/>
                <w:lang w:val="en-US" w:eastAsia="zh-CN"/>
              </w:rPr>
              <w:t>≥</w:t>
            </w:r>
            <w:r>
              <w:rPr>
                <w:rFonts w:hint="eastAsia" w:ascii="宋体" w:hAnsi="宋体" w:cs="宋体"/>
                <w:color w:val="auto"/>
                <w:kern w:val="0"/>
                <w:sz w:val="24"/>
                <w:lang w:bidi="ar"/>
              </w:rPr>
              <w:t>2</w:t>
            </w:r>
            <w:r>
              <w:rPr>
                <w:rFonts w:hint="eastAsia" w:ascii="仿宋" w:hAnsi="仿宋" w:eastAsia="仿宋" w:cs="仿宋"/>
                <w:color w:val="auto"/>
                <w:sz w:val="24"/>
              </w:rPr>
              <w:t>2寸彩色液晶台式机，分辨率</w:t>
            </w:r>
            <w:r>
              <w:rPr>
                <w:rFonts w:hint="eastAsia" w:ascii="仿宋" w:hAnsi="仿宋" w:eastAsia="仿宋" w:cs="仿宋"/>
                <w:color w:val="auto"/>
                <w:sz w:val="24"/>
                <w:lang w:val="en-US" w:eastAsia="zh-CN"/>
              </w:rPr>
              <w:t>≥</w:t>
            </w:r>
            <w:r>
              <w:rPr>
                <w:rFonts w:hint="eastAsia" w:ascii="仿宋" w:hAnsi="仿宋" w:eastAsia="仿宋" w:cs="仿宋"/>
                <w:color w:val="auto"/>
                <w:sz w:val="24"/>
              </w:rPr>
              <w:t>1920×1080</w:t>
            </w:r>
          </w:p>
        </w:tc>
        <w:tc>
          <w:tcPr>
            <w:tcW w:w="969" w:type="dxa"/>
            <w:noWrap w:val="0"/>
            <w:vAlign w:val="top"/>
          </w:tcPr>
          <w:p>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1207"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电源线</w:t>
            </w:r>
          </w:p>
        </w:tc>
        <w:tc>
          <w:tcPr>
            <w:tcW w:w="4490"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w:t>
            </w:r>
          </w:p>
        </w:tc>
        <w:tc>
          <w:tcPr>
            <w:tcW w:w="969" w:type="dxa"/>
            <w:noWrap w:val="0"/>
            <w:vAlign w:val="top"/>
          </w:tcPr>
          <w:p>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1207"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系统软件</w:t>
            </w:r>
          </w:p>
        </w:tc>
        <w:tc>
          <w:tcPr>
            <w:tcW w:w="4490"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体质辨识健康管理系统软件</w:t>
            </w:r>
          </w:p>
        </w:tc>
        <w:tc>
          <w:tcPr>
            <w:tcW w:w="969" w:type="dxa"/>
            <w:noWrap w:val="0"/>
            <w:vAlign w:val="top"/>
          </w:tcPr>
          <w:p>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1207"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公司资质</w:t>
            </w:r>
          </w:p>
        </w:tc>
        <w:tc>
          <w:tcPr>
            <w:tcW w:w="4490"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产品相关资质</w:t>
            </w:r>
          </w:p>
        </w:tc>
        <w:tc>
          <w:tcPr>
            <w:tcW w:w="969" w:type="dxa"/>
            <w:noWrap w:val="0"/>
            <w:vAlign w:val="top"/>
          </w:tcPr>
          <w:p>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1207"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加密狗</w:t>
            </w:r>
          </w:p>
        </w:tc>
        <w:tc>
          <w:tcPr>
            <w:tcW w:w="4490"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解锁软件</w:t>
            </w:r>
          </w:p>
        </w:tc>
        <w:tc>
          <w:tcPr>
            <w:tcW w:w="969" w:type="dxa"/>
            <w:noWrap w:val="0"/>
            <w:vAlign w:val="top"/>
          </w:tcPr>
          <w:p>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pPr>
              <w:spacing w:line="440" w:lineRule="exact"/>
              <w:jc w:val="center"/>
              <w:rPr>
                <w:rFonts w:hint="eastAsia" w:ascii="仿宋" w:hAnsi="仿宋" w:eastAsia="仿宋" w:cs="仿宋"/>
                <w:bCs/>
                <w:color w:val="000000"/>
                <w:sz w:val="24"/>
              </w:rPr>
            </w:pPr>
            <w:r>
              <w:rPr>
                <w:rFonts w:hint="eastAsia" w:ascii="仿宋" w:hAnsi="仿宋" w:eastAsia="仿宋" w:cs="仿宋"/>
                <w:bCs/>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1207"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说明书</w:t>
            </w:r>
          </w:p>
        </w:tc>
        <w:tc>
          <w:tcPr>
            <w:tcW w:w="4490"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w:t>
            </w:r>
          </w:p>
        </w:tc>
        <w:tc>
          <w:tcPr>
            <w:tcW w:w="969" w:type="dxa"/>
            <w:noWrap w:val="0"/>
            <w:vAlign w:val="top"/>
          </w:tcPr>
          <w:p>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1</w:t>
            </w:r>
          </w:p>
        </w:tc>
        <w:tc>
          <w:tcPr>
            <w:tcW w:w="920" w:type="dxa"/>
            <w:noWrap w:val="0"/>
            <w:vAlign w:val="top"/>
          </w:tcPr>
          <w:p>
            <w:pPr>
              <w:spacing w:line="440" w:lineRule="exact"/>
              <w:jc w:val="center"/>
              <w:rPr>
                <w:rFonts w:ascii="仿宋" w:hAnsi="仿宋" w:eastAsia="仿宋" w:cs="仿宋"/>
                <w:bCs/>
                <w:color w:val="000000"/>
                <w:sz w:val="24"/>
              </w:rPr>
            </w:pPr>
            <w:r>
              <w:rPr>
                <w:rFonts w:hint="eastAsia" w:ascii="仿宋" w:hAnsi="仿宋" w:eastAsia="仿宋" w:cs="仿宋"/>
                <w:bCs/>
                <w:color w:val="000000"/>
                <w:sz w:val="24"/>
              </w:rPr>
              <w:t>本</w:t>
            </w:r>
          </w:p>
        </w:tc>
      </w:tr>
    </w:tbl>
    <w:p>
      <w:pPr>
        <w:spacing w:line="440" w:lineRule="exact"/>
        <w:rPr>
          <w:rFonts w:ascii="仿宋" w:hAnsi="仿宋" w:eastAsia="仿宋" w:cs="仿宋"/>
          <w:b/>
          <w:color w:val="000000"/>
          <w:sz w:val="24"/>
        </w:rPr>
      </w:pPr>
    </w:p>
    <w:p>
      <w:pPr>
        <w:pStyle w:val="12"/>
        <w:numPr>
          <w:ilvl w:val="0"/>
          <w:numId w:val="6"/>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w:t>
      </w:r>
      <w:r>
        <w:rPr>
          <w:rFonts w:hint="eastAsia" w:ascii="仿宋" w:hAnsi="仿宋" w:eastAsia="仿宋" w:cs="仿宋"/>
          <w:color w:val="000000"/>
          <w:sz w:val="24"/>
          <w:highlight w:val="none"/>
        </w:rPr>
        <w:t>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日内完成设备的安装调试。</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1.6验收方式：按《小榄镇公立医院政府采购和验收办法》。</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★1.7投标供应商须要在投标文件做出具承诺函，该承诺函包括但不限于以下内容: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rPr>
        <w:t xml:space="preserve">  1  </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sz w:val="24"/>
          <w:highlight w:val="none"/>
        </w:rPr>
      </w:pPr>
      <w:r>
        <w:rPr>
          <w:rFonts w:hint="eastAsia" w:ascii="仿宋" w:hAnsi="仿宋" w:eastAsia="仿宋" w:cs="仿宋"/>
          <w:color w:val="000000"/>
          <w:sz w:val="24"/>
          <w:highlight w:val="none"/>
        </w:rPr>
        <w:t>★3.2</w:t>
      </w:r>
      <w:r>
        <w:rPr>
          <w:rFonts w:hint="eastAsia" w:ascii="仿宋" w:hAnsi="仿宋" w:eastAsia="仿宋" w:cs="仿宋"/>
          <w:sz w:val="24"/>
          <w:highlight w:val="none"/>
        </w:rPr>
        <w:t>具体付款方式：本合同分二期支付，第一期：合同签订后，乙方按合同协议时间提供货物，并经协议规定的验收人员书面确认验收合格后，开具全额发票，甲方确认无误后一个月内支付合同总金额的95%的款项。第二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F69365D3"/>
    <w:multiLevelType w:val="singleLevel"/>
    <w:tmpl w:val="F69365D3"/>
    <w:lvl w:ilvl="0" w:tentative="0">
      <w:start w:val="1"/>
      <w:numFmt w:val="decimalEnclosedCircleChinese"/>
      <w:suff w:val="nothing"/>
      <w:lvlText w:val="%1　"/>
      <w:lvlJc w:val="left"/>
      <w:pPr>
        <w:ind w:left="0" w:firstLine="400"/>
      </w:pPr>
      <w:rPr>
        <w:rFonts w:hint="eastAsia"/>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6E770E0"/>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autoRedefine/>
    <w:qFormat/>
    <w:uiPriority w:val="0"/>
    <w:pPr>
      <w:spacing w:line="360" w:lineRule="auto"/>
      <w:ind w:firstLine="420"/>
    </w:pPr>
    <w:rPr>
      <w:rFonts w:ascii="宋体"/>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autoRedefine/>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autoRedefine/>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631</Words>
  <Characters>723</Characters>
  <Lines>5</Lines>
  <Paragraphs>1</Paragraphs>
  <TotalTime>2</TotalTime>
  <ScaleCrop>false</ScaleCrop>
  <LinksUpToDate>false</LinksUpToDate>
  <CharactersWithSpaces>807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2024-05-09T07:17:01Z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9EDAA96C40204CB9B4B1045A0C1E4475_13</vt:lpwstr>
  </property>
</Properties>
</file>