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</w:rPr>
        <w:t>用户需求书</w:t>
      </w:r>
      <w:r>
        <w:rPr>
          <w:rFonts w:hint="eastAsia" w:ascii="宋体" w:hAnsi="宋体" w:eastAsia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调研</w:t>
      </w:r>
      <w:r>
        <w:rPr>
          <w:rFonts w:hint="eastAsia" w:ascii="宋体" w:hAnsi="宋体" w:eastAsia="宋体"/>
          <w:sz w:val="28"/>
          <w:szCs w:val="28"/>
          <w:lang w:eastAsia="zh-CN"/>
        </w:rPr>
        <w:t>）</w:t>
      </w:r>
    </w:p>
    <w:p>
      <w:pPr>
        <w:jc w:val="center"/>
        <w:rPr>
          <w:rFonts w:ascii="宋体" w:hAnsi="宋体" w:eastAsia="宋体"/>
          <w:sz w:val="28"/>
          <w:szCs w:val="28"/>
        </w:rPr>
      </w:pPr>
    </w:p>
    <w:p>
      <w:pPr>
        <w:spacing w:line="360" w:lineRule="auto"/>
        <w:jc w:val="left"/>
        <w:rPr>
          <w:rFonts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一、项目概况</w:t>
      </w:r>
    </w:p>
    <w:p>
      <w:pPr>
        <w:spacing w:line="360" w:lineRule="auto"/>
        <w:jc w:val="left"/>
        <w:rPr>
          <w:rFonts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（一）项目基本内容</w:t>
      </w:r>
    </w:p>
    <w:p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1、项目名称：中山市小榄人民医院供水系统维修。</w:t>
      </w:r>
    </w:p>
    <w:p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2、项目地点：中山市小榄人民医院。</w:t>
      </w:r>
    </w:p>
    <w:p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  <w:lang w:val="en-US" w:eastAsia="zh-CN"/>
        </w:rPr>
        <w:t>3</w:t>
      </w:r>
      <w:r>
        <w:rPr>
          <w:rFonts w:hint="eastAsia" w:ascii="宋体" w:hAnsi="宋体" w:eastAsia="宋体"/>
          <w:szCs w:val="21"/>
        </w:rPr>
        <w:t>、项目服务期限：3年。</w:t>
      </w:r>
    </w:p>
    <w:p>
      <w:pPr>
        <w:spacing w:line="360" w:lineRule="auto"/>
        <w:jc w:val="left"/>
        <w:rPr>
          <w:rFonts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（二）基本报价要求</w:t>
      </w:r>
    </w:p>
    <w:p>
      <w:pPr>
        <w:spacing w:line="360" w:lineRule="auto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/>
          <w:szCs w:val="21"/>
        </w:rPr>
        <w:t>1、</w:t>
      </w:r>
      <w:r>
        <w:rPr>
          <w:rFonts w:ascii="Times New Roman" w:hAnsi="Times New Roman" w:eastAsia="宋体" w:cs="DengXian Regular"/>
          <w:szCs w:val="21"/>
        </w:rPr>
        <w:t>具有独立承担民事责任的能力：在中华人民共和国境内注册的法人或其他组织或自然人，投标（响应） 时提交有效的营业执照</w:t>
      </w:r>
      <w:r>
        <w:rPr>
          <w:rFonts w:hint="eastAsia" w:ascii="Times New Roman" w:hAnsi="Times New Roman" w:eastAsia="宋体" w:cs="DengXian Regular"/>
          <w:szCs w:val="21"/>
        </w:rPr>
        <w:t>复印件</w:t>
      </w:r>
      <w:r>
        <w:rPr>
          <w:rFonts w:hint="eastAsia" w:ascii="宋体" w:hAnsi="宋体" w:eastAsia="宋体" w:cs="宋体"/>
          <w:szCs w:val="21"/>
        </w:rPr>
        <w:t>或其他组织证明文件。</w:t>
      </w:r>
    </w:p>
    <w:p>
      <w:pPr>
        <w:spacing w:line="360" w:lineRule="auto"/>
        <w:jc w:val="left"/>
        <w:rPr>
          <w:rFonts w:ascii="Times New Roman" w:hAnsi="Times New Roman" w:eastAsia="宋体" w:cs="DengXian Regular"/>
          <w:szCs w:val="21"/>
        </w:rPr>
      </w:pPr>
      <w:r>
        <w:rPr>
          <w:rFonts w:hint="eastAsia" w:ascii="宋体" w:hAnsi="宋体" w:eastAsia="宋体" w:cs="宋体"/>
          <w:szCs w:val="21"/>
        </w:rPr>
        <w:t>2、</w:t>
      </w:r>
      <w:r>
        <w:rPr>
          <w:rFonts w:hint="eastAsia" w:ascii="Times New Roman" w:hAnsi="Times New Roman" w:eastAsia="宋体" w:cs="DengXian Regular"/>
          <w:szCs w:val="21"/>
        </w:rPr>
        <w:t>取得中华人民共和国相关部门颁发的《安全生产许可证》、《建筑业企业资质证书》资质。</w:t>
      </w:r>
    </w:p>
    <w:p>
      <w:pPr>
        <w:spacing w:line="360" w:lineRule="auto"/>
        <w:jc w:val="left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 w:cs="DengXian Regular"/>
          <w:szCs w:val="21"/>
        </w:rPr>
        <w:t>3</w:t>
      </w:r>
      <w:r>
        <w:rPr>
          <w:rFonts w:hint="eastAsia" w:ascii="Times New Roman" w:hAnsi="Times New Roman" w:eastAsia="宋体" w:cs="DengXian Regular"/>
          <w:szCs w:val="21"/>
        </w:rPr>
        <w:t>、</w:t>
      </w:r>
      <w:r>
        <w:rPr>
          <w:rFonts w:hint="eastAsia" w:ascii="Times New Roman" w:hAnsi="Times New Roman" w:eastAsia="宋体"/>
          <w:szCs w:val="21"/>
        </w:rPr>
        <w:t>中标</w:t>
      </w:r>
      <w:r>
        <w:rPr>
          <w:rFonts w:hint="eastAsia"/>
          <w:szCs w:val="21"/>
        </w:rPr>
        <w:t>供应商</w:t>
      </w:r>
      <w:r>
        <w:rPr>
          <w:rFonts w:hint="eastAsia" w:ascii="Times New Roman" w:hAnsi="Times New Roman" w:eastAsia="宋体"/>
          <w:szCs w:val="21"/>
        </w:rPr>
        <w:t>不得以任何方式转包或分包本项目。</w:t>
      </w:r>
    </w:p>
    <w:p>
      <w:pPr>
        <w:spacing w:line="360" w:lineRule="auto"/>
        <w:jc w:val="left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4、本项目不接受联合体投标。</w:t>
      </w:r>
    </w:p>
    <w:p>
      <w:pPr>
        <w:spacing w:line="360" w:lineRule="auto"/>
        <w:jc w:val="left"/>
        <w:rPr>
          <w:rFonts w:ascii="Times New Roman" w:hAnsi="Times New Roman" w:eastAsia="宋体"/>
          <w:b/>
          <w:bCs/>
          <w:szCs w:val="21"/>
        </w:rPr>
      </w:pPr>
      <w:r>
        <w:rPr>
          <w:rFonts w:hint="eastAsia" w:ascii="Times New Roman" w:hAnsi="Times New Roman" w:eastAsia="宋体"/>
          <w:b/>
          <w:bCs/>
          <w:szCs w:val="21"/>
        </w:rPr>
        <w:t>二、维修材料内容清单（含维修中产生的人工费用）</w:t>
      </w:r>
    </w:p>
    <w:tbl>
      <w:tblPr>
        <w:tblStyle w:val="5"/>
        <w:tblW w:w="939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2516"/>
        <w:gridCol w:w="1668"/>
        <w:gridCol w:w="851"/>
        <w:gridCol w:w="1249"/>
        <w:gridCol w:w="1186"/>
        <w:gridCol w:w="11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1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规格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单价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（元）</w:t>
            </w:r>
          </w:p>
        </w:tc>
        <w:tc>
          <w:tcPr>
            <w:tcW w:w="1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1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品牌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不锈钢管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De16*0.8mm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条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不锈钢管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De20*1.0mm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条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不锈钢管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De25*1.0mm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条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不锈钢管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De32*1.2mm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条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不锈钢管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De40*1.2mm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条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不锈钢管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De50*1.2mm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条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不锈钢弯头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De16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不锈钢弯头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De20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不锈钢弯头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De25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不锈钢弯头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De32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不锈钢弯头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De40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不锈钢弯头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De50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不锈钢三通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De16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不锈钢三通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De20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不锈钢三通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De25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不锈钢三通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De32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不锈钢三通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De40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不锈钢三通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De50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不锈钢直通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De16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不锈钢直通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De20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不锈钢直通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De25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不锈钢直通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De32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不锈钢直通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De40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不锈钢直通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De50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不锈钢阀门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De15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不锈钢阀门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De20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不锈钢阀门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De25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不锈钢阀门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De32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29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不锈钢阀门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De40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不锈钢阀门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De50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31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角阀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DN15 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不锈钢编织软管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DN150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条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33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不锈钢伸缩节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DN200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34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给水管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PP-R32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条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35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给水管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PP-R25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条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闸阀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PP-R25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37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闸阀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PP-R32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38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复合管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PE200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条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39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复合管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PEN160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条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复合管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PEN110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条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41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复合管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PEN75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条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42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电熔电熔法兰盘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PE75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套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43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电熔电熔法兰盘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PE110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套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44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电熔电熔法兰盘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PE160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套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45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电熔法兰盘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PE200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46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电熔法兰套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PE200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47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电熔弯头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PE200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电熔弯头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PE160*90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49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电熔弯头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PE75*90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电熔三通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PE160*110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51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电熔三通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PE110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52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电熔直通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PE160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53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电熔直通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PE110*75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54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电熔直通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PE75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55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给水管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PVC-U 75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条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给水弯头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PVC-U 75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57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给水直通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PVC-U 75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58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给水法兰盘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PVC-U 110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59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给水异径直通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PVC-U110*75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排水管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PVC160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条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61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排水弯头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PVC160*45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62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排水直通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PVC160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63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闸阀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DN150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64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闸阀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DN100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65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水泥圆井盖</w:t>
            </w:r>
          </w:p>
        </w:tc>
        <w:tc>
          <w:tcPr>
            <w:tcW w:w="1668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800mm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66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水泥方井盖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700*700mm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67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砌筑阀门井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定制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68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砌筑排水井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定制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69</w:t>
            </w:r>
          </w:p>
        </w:tc>
        <w:tc>
          <w:tcPr>
            <w:tcW w:w="2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不锈钢管</w:t>
            </w:r>
          </w:p>
        </w:tc>
        <w:tc>
          <w:tcPr>
            <w:tcW w:w="1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76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条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70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不锈钢管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条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71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不锈钢管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108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条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72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不锈钢管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159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条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73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不锈钢管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219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条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74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304法兰软密封暗杆闸阀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DN65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75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304法兰软密封暗杆闸阀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DN80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76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304法兰软密封暗杆闸阀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DN100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77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304法兰软密封暗杆闸阀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DN150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78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304法兰软密封暗杆闸阀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DN200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79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304沟槽暗杆软密封闸阀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DN65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304沟槽暗杆软密封闸阀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DN80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81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304沟槽暗杆软密封闸阀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DN100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82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304沟槽暗杆软密封闸阀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DN150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83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304沟槽暗杆软密封闸阀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DN200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不锈钢卡箍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DN100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85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不锈钢卡箍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DN150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86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不锈钢卡箍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DN200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87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不锈钢卡箍弯头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DN100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88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不锈钢卡箍弯头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DN150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89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不锈钢卡箍弯头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DN200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不锈钢卡箍法兰盘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DN100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91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不锈钢卡箍法兰盘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DN150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92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不锈钢卡箍法兰盘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DN200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93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不锈钢卡箍三通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DN100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94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不锈钢卡箍三通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DN150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95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不锈钢卡箍三通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DN200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96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不锈钢伸缩节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DN100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97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不锈钢伸缩节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DN150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98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钢塑管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DN100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条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99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钢塑管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DN150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条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钢塑管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DN200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条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101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钢塑给水卡箍弯头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DN100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102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钢塑给水卡箍弯头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DN150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103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钢塑给水卡箍弯头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DN200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104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钢塑给水卡箍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DN100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105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钢塑给水卡箍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DN150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106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钢塑给水卡箍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DN200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107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钢塑给水卡箍三通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DN100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108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钢塑给水卡箍三通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DN150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109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钢塑给水卡箍三通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DN200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110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不锈钢液压浮球阀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DN100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111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不锈钢液压浮球阀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DN150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112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不锈钢液压浮球阀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DN200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113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不锈钢止回阀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DN100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114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不锈钢止回阀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DN150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115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不锈钢止回阀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DN200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116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软接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DN65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117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软接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DN80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118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软接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DN100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119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软接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DN150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软接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DN200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121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生活给水泵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与原产品配套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台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122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生活气压罐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与原产品配套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123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不锈钢蝶阀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DN100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124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不锈钢蝶阀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DN150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125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不锈钢蝶阀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DN200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126</w:t>
            </w:r>
          </w:p>
        </w:tc>
        <w:tc>
          <w:tcPr>
            <w:tcW w:w="2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法兰闸阀</w:t>
            </w:r>
          </w:p>
        </w:tc>
        <w:tc>
          <w:tcPr>
            <w:tcW w:w="1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DN200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国标</w:t>
            </w:r>
          </w:p>
        </w:tc>
        <w:tc>
          <w:tcPr>
            <w:tcW w:w="1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127</w:t>
            </w:r>
          </w:p>
        </w:tc>
        <w:tc>
          <w:tcPr>
            <w:tcW w:w="2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开挖水泥路面（钩机）</w:t>
            </w:r>
          </w:p>
        </w:tc>
        <w:tc>
          <w:tcPr>
            <w:tcW w:w="1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租赁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班/台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128</w:t>
            </w:r>
          </w:p>
        </w:tc>
        <w:tc>
          <w:tcPr>
            <w:tcW w:w="2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石粉</w:t>
            </w:r>
          </w:p>
        </w:tc>
        <w:tc>
          <w:tcPr>
            <w:tcW w:w="1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粒径小于75μm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立方米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129</w:t>
            </w:r>
          </w:p>
        </w:tc>
        <w:tc>
          <w:tcPr>
            <w:tcW w:w="2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混凝土</w:t>
            </w:r>
          </w:p>
        </w:tc>
        <w:tc>
          <w:tcPr>
            <w:tcW w:w="1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水泥混凝土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立方米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130</w:t>
            </w:r>
          </w:p>
        </w:tc>
        <w:tc>
          <w:tcPr>
            <w:tcW w:w="2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水泥路面恢复</w:t>
            </w:r>
          </w:p>
        </w:tc>
        <w:tc>
          <w:tcPr>
            <w:tcW w:w="1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碾压式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项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131</w:t>
            </w:r>
          </w:p>
        </w:tc>
        <w:tc>
          <w:tcPr>
            <w:tcW w:w="2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水泥渣土清运</w:t>
            </w:r>
          </w:p>
        </w:tc>
        <w:tc>
          <w:tcPr>
            <w:tcW w:w="1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租赁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项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132</w:t>
            </w:r>
          </w:p>
        </w:tc>
        <w:tc>
          <w:tcPr>
            <w:tcW w:w="2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登高作业车</w:t>
            </w:r>
          </w:p>
        </w:tc>
        <w:tc>
          <w:tcPr>
            <w:tcW w:w="1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租赁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项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</w:tbl>
    <w:p>
      <w:pPr>
        <w:spacing w:line="360" w:lineRule="auto"/>
        <w:jc w:val="left"/>
        <w:rPr>
          <w:rFonts w:hint="eastAsia"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三、报价要求</w:t>
      </w:r>
    </w:p>
    <w:p>
      <w:pPr>
        <w:spacing w:line="360" w:lineRule="auto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  <w:lang w:val="en-US" w:eastAsia="zh-CN"/>
        </w:rPr>
        <w:t>1</w:t>
      </w:r>
      <w:r>
        <w:rPr>
          <w:rFonts w:hint="eastAsia" w:ascii="宋体" w:hAnsi="宋体" w:eastAsia="宋体"/>
          <w:bCs/>
          <w:szCs w:val="21"/>
        </w:rPr>
        <w:t>、供应商报价应为人民币含税全包价，包含货物、包装费、运杂费、人工费、安装费、税金及供应商认为需要的所有费用，采购人不再单独支付其他费用。</w:t>
      </w:r>
    </w:p>
    <w:p>
      <w:pPr>
        <w:spacing w:line="360" w:lineRule="auto"/>
        <w:jc w:val="left"/>
        <w:rPr>
          <w:rFonts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四、服务地点及时限</w:t>
      </w:r>
    </w:p>
    <w:p>
      <w:pPr>
        <w:spacing w:line="360" w:lineRule="auto"/>
        <w:jc w:val="left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1、服务地点：中山市小榄人民医院</w:t>
      </w:r>
    </w:p>
    <w:p>
      <w:pPr>
        <w:spacing w:line="360" w:lineRule="auto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2、服务时限：</w:t>
      </w:r>
      <w:r>
        <w:rPr>
          <w:rFonts w:hint="eastAsia" w:ascii="宋体" w:hAnsi="宋体" w:eastAsia="宋体"/>
          <w:bCs/>
          <w:szCs w:val="21"/>
          <w:lang w:eastAsia="zh-CN"/>
        </w:rPr>
        <w:t>本项目提供</w:t>
      </w:r>
      <w:r>
        <w:rPr>
          <w:rFonts w:hint="eastAsia" w:ascii="宋体" w:hAnsi="宋体" w:eastAsia="宋体"/>
          <w:bCs/>
          <w:szCs w:val="21"/>
          <w:lang w:val="en-US" w:eastAsia="zh-CN"/>
        </w:rPr>
        <w:t>服务金额</w:t>
      </w:r>
      <w:r>
        <w:rPr>
          <w:rFonts w:hint="eastAsia" w:ascii="宋体" w:hAnsi="宋体" w:eastAsia="宋体"/>
          <w:bCs/>
          <w:szCs w:val="21"/>
          <w:lang w:eastAsia="zh-CN"/>
        </w:rPr>
        <w:t>累计达到预算金额或项目</w:t>
      </w:r>
      <w:r>
        <w:rPr>
          <w:rFonts w:hint="eastAsia" w:ascii="宋体" w:hAnsi="宋体" w:eastAsia="宋体"/>
          <w:bCs/>
          <w:szCs w:val="21"/>
          <w:lang w:val="en-US" w:eastAsia="zh-CN"/>
        </w:rPr>
        <w:t>服务三年期</w:t>
      </w:r>
      <w:r>
        <w:rPr>
          <w:rFonts w:hint="eastAsia" w:ascii="宋体" w:hAnsi="宋体" w:eastAsia="宋体"/>
          <w:bCs/>
          <w:szCs w:val="21"/>
          <w:lang w:eastAsia="zh-CN"/>
        </w:rPr>
        <w:t>满，则合同自动终止。</w:t>
      </w:r>
    </w:p>
    <w:p>
      <w:pPr>
        <w:spacing w:line="360" w:lineRule="auto"/>
        <w:jc w:val="left"/>
        <w:rPr>
          <w:rFonts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五、服务要求</w:t>
      </w:r>
    </w:p>
    <w:p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1、中标供应商需提供2</w:t>
      </w:r>
      <w:r>
        <w:rPr>
          <w:rFonts w:ascii="宋体" w:hAnsi="宋体" w:eastAsia="宋体"/>
          <w:szCs w:val="21"/>
        </w:rPr>
        <w:t>4</w:t>
      </w:r>
      <w:r>
        <w:rPr>
          <w:rFonts w:hint="eastAsia" w:ascii="宋体" w:hAnsi="宋体" w:eastAsia="宋体"/>
          <w:szCs w:val="21"/>
        </w:rPr>
        <w:t>小时服务，当出现供水系统维修问题时，要求中标供应商</w:t>
      </w:r>
      <w:r>
        <w:rPr>
          <w:rFonts w:ascii="宋体" w:hAnsi="宋体" w:eastAsia="宋体"/>
          <w:szCs w:val="21"/>
        </w:rPr>
        <w:t>90</w:t>
      </w:r>
      <w:r>
        <w:rPr>
          <w:rFonts w:hint="eastAsia" w:ascii="宋体" w:hAnsi="宋体" w:eastAsia="宋体"/>
          <w:szCs w:val="21"/>
        </w:rPr>
        <w:t>分钟内响应，4小时内到达现场，24小时内提供方案进行维修，</w:t>
      </w:r>
      <w:r>
        <w:rPr>
          <w:rFonts w:hint="eastAsia" w:ascii="Times New Roman" w:hAnsi="Times New Roman" w:eastAsia="宋体"/>
          <w:szCs w:val="21"/>
        </w:rPr>
        <w:t>若因故不能即时修复而影响系统正常运作，应书面通知采购人，同时中标供应商应做好相应的临时补救措施</w:t>
      </w:r>
      <w:r>
        <w:rPr>
          <w:rFonts w:hint="eastAsia" w:ascii="宋体" w:hAnsi="宋体" w:eastAsia="宋体"/>
          <w:szCs w:val="21"/>
        </w:rPr>
        <w:t>。</w:t>
      </w:r>
    </w:p>
    <w:p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2、中标供应商应提供足够的人力、技术、工具及器具，按规定运行有序地维修工作，因中标供应商过失导致设备损坏、人员安全事故等，造成的全部经济及安全责任由中标人供应商承担。</w:t>
      </w:r>
    </w:p>
    <w:p>
      <w:pPr>
        <w:spacing w:line="360" w:lineRule="auto"/>
        <w:jc w:val="left"/>
        <w:rPr>
          <w:rFonts w:ascii="Times New Roman" w:hAnsi="Times New Roman" w:eastAsia="宋体" w:cs="DengXian Regular"/>
          <w:szCs w:val="21"/>
        </w:rPr>
      </w:pPr>
      <w:r>
        <w:rPr>
          <w:rFonts w:hint="eastAsia" w:ascii="宋体" w:hAnsi="宋体" w:eastAsia="宋体"/>
          <w:szCs w:val="21"/>
        </w:rPr>
        <w:t>3、中标供应商投入维修人员应</w:t>
      </w:r>
      <w:r>
        <w:rPr>
          <w:rFonts w:hint="eastAsia" w:ascii="Times New Roman" w:hAnsi="Times New Roman" w:eastAsia="宋体" w:cs="DengXian Regular"/>
          <w:szCs w:val="21"/>
        </w:rPr>
        <w:t>经验丰富、责任心强，精通水类维修。</w:t>
      </w:r>
    </w:p>
    <w:p>
      <w:pPr>
        <w:spacing w:line="360" w:lineRule="auto"/>
        <w:jc w:val="left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 w:cs="DengXian Regular"/>
          <w:szCs w:val="21"/>
        </w:rPr>
        <w:t>4、</w:t>
      </w:r>
      <w:r>
        <w:rPr>
          <w:rFonts w:hint="eastAsia" w:ascii="Times New Roman" w:hAnsi="Times New Roman" w:eastAsia="宋体"/>
          <w:szCs w:val="21"/>
        </w:rPr>
        <w:t>中标供应商维修过程中，发现其他问题，须及时对采购人进行反馈及建议。</w:t>
      </w:r>
    </w:p>
    <w:p>
      <w:pPr>
        <w:spacing w:line="360" w:lineRule="auto"/>
        <w:jc w:val="left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5、本项目范围内涉及到的配件、备件（详见维修材料内容清单），由中标</w:t>
      </w:r>
      <w:r>
        <w:rPr>
          <w:rFonts w:hint="eastAsia"/>
          <w:szCs w:val="21"/>
        </w:rPr>
        <w:t>供应商</w:t>
      </w:r>
      <w:r>
        <w:rPr>
          <w:rFonts w:hint="eastAsia" w:ascii="Times New Roman" w:hAnsi="Times New Roman" w:eastAsia="宋体"/>
          <w:szCs w:val="21"/>
        </w:rPr>
        <w:t>提供维修材料内容</w:t>
      </w:r>
      <w:r>
        <w:rPr>
          <w:rFonts w:hint="eastAsia" w:ascii="Times New Roman" w:hAnsi="Times New Roman" w:eastAsia="宋体"/>
          <w:szCs w:val="21"/>
          <w:lang w:val="en-US" w:eastAsia="zh-CN"/>
        </w:rPr>
        <w:t>内的</w:t>
      </w:r>
      <w:r>
        <w:rPr>
          <w:rFonts w:hint="eastAsia" w:ascii="Times New Roman" w:hAnsi="Times New Roman" w:eastAsia="宋体"/>
          <w:szCs w:val="21"/>
        </w:rPr>
        <w:t>型号，费用由采购人支付。</w:t>
      </w:r>
    </w:p>
    <w:p>
      <w:pPr>
        <w:spacing w:line="360" w:lineRule="auto"/>
        <w:jc w:val="left"/>
        <w:rPr>
          <w:rFonts w:ascii="Times New Roman" w:hAnsi="Times New Roman" w:eastAsia="宋体" w:cs="Courier New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六</w:t>
      </w:r>
      <w:r>
        <w:rPr>
          <w:rFonts w:ascii="宋体" w:hAnsi="宋体" w:eastAsia="宋体"/>
          <w:b/>
          <w:szCs w:val="21"/>
        </w:rPr>
        <w:t>、</w:t>
      </w:r>
      <w:r>
        <w:rPr>
          <w:rFonts w:hint="eastAsia" w:ascii="Times New Roman" w:hAnsi="Times New Roman" w:eastAsia="宋体" w:cs="Courier New"/>
          <w:b/>
          <w:szCs w:val="21"/>
        </w:rPr>
        <w:t>双方的权利与义务</w:t>
      </w:r>
    </w:p>
    <w:p>
      <w:pPr>
        <w:pStyle w:val="4"/>
        <w:tabs>
          <w:tab w:val="left" w:pos="540"/>
        </w:tabs>
        <w:adjustRightInd w:val="0"/>
        <w:snapToGrid w:val="0"/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（一）采购人的义务与责任：</w:t>
      </w:r>
    </w:p>
    <w:p>
      <w:pPr>
        <w:spacing w:line="360" w:lineRule="auto"/>
        <w:jc w:val="left"/>
        <w:rPr>
          <w:rFonts w:ascii="Times New Roman" w:hAnsi="Times New Roman" w:eastAsia="宋体" w:cs="Courier New"/>
          <w:szCs w:val="21"/>
        </w:rPr>
      </w:pPr>
      <w:r>
        <w:rPr>
          <w:rFonts w:ascii="Times New Roman" w:hAnsi="Times New Roman" w:eastAsia="宋体" w:cs="Courier New"/>
          <w:szCs w:val="21"/>
        </w:rPr>
        <w:t>1</w:t>
      </w:r>
      <w:r>
        <w:rPr>
          <w:rFonts w:hint="eastAsia" w:ascii="Times New Roman" w:hAnsi="Times New Roman" w:eastAsia="宋体" w:cs="Courier New"/>
          <w:szCs w:val="21"/>
        </w:rPr>
        <w:t>、提供给中标供应商用水、用电及必要的维护用地的需要。</w:t>
      </w:r>
    </w:p>
    <w:p>
      <w:pPr>
        <w:spacing w:line="360" w:lineRule="auto"/>
        <w:jc w:val="left"/>
        <w:rPr>
          <w:rFonts w:ascii="Times New Roman" w:hAnsi="Times New Roman" w:eastAsia="宋体" w:cs="Courier New"/>
          <w:szCs w:val="21"/>
        </w:rPr>
      </w:pPr>
      <w:r>
        <w:rPr>
          <w:rFonts w:ascii="Times New Roman" w:hAnsi="Times New Roman" w:eastAsia="宋体" w:cs="Courier New"/>
          <w:szCs w:val="21"/>
        </w:rPr>
        <w:t>2</w:t>
      </w:r>
      <w:r>
        <w:rPr>
          <w:rFonts w:hint="eastAsia" w:ascii="Times New Roman" w:hAnsi="Times New Roman" w:eastAsia="宋体" w:cs="Courier New"/>
          <w:szCs w:val="21"/>
        </w:rPr>
        <w:t>、提供足够的现场消防安全措施、照明设施等。</w:t>
      </w:r>
    </w:p>
    <w:p>
      <w:pPr>
        <w:spacing w:line="360" w:lineRule="auto"/>
        <w:jc w:val="left"/>
        <w:rPr>
          <w:rFonts w:ascii="Times New Roman" w:hAnsi="Times New Roman" w:eastAsia="宋体" w:cs="Courier New"/>
          <w:szCs w:val="21"/>
        </w:rPr>
      </w:pPr>
      <w:r>
        <w:rPr>
          <w:rFonts w:ascii="Times New Roman" w:hAnsi="Times New Roman" w:eastAsia="宋体" w:cs="Courier New"/>
          <w:szCs w:val="21"/>
        </w:rPr>
        <w:t>3</w:t>
      </w:r>
      <w:r>
        <w:rPr>
          <w:rFonts w:hint="eastAsia" w:ascii="Times New Roman" w:hAnsi="Times New Roman" w:eastAsia="宋体" w:cs="Courier New"/>
          <w:szCs w:val="21"/>
        </w:rPr>
        <w:t>、指派代表负责协助、检查、验收的维护保养工作。</w:t>
      </w:r>
    </w:p>
    <w:p>
      <w:pPr>
        <w:pStyle w:val="4"/>
        <w:tabs>
          <w:tab w:val="left" w:pos="540"/>
        </w:tabs>
        <w:adjustRightInd w:val="0"/>
        <w:snapToGrid w:val="0"/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（二）中标供应商的义务与责任：</w:t>
      </w:r>
    </w:p>
    <w:p>
      <w:pPr>
        <w:spacing w:line="360" w:lineRule="auto"/>
        <w:jc w:val="left"/>
        <w:rPr>
          <w:rFonts w:ascii="Times New Roman" w:hAnsi="Times New Roman" w:eastAsia="宋体"/>
          <w:szCs w:val="21"/>
        </w:rPr>
      </w:pPr>
      <w:r>
        <w:rPr>
          <w:rFonts w:hint="eastAsia" w:ascii="宋体" w:hAnsi="宋体" w:eastAsia="宋体"/>
          <w:szCs w:val="21"/>
        </w:rPr>
        <w:t>1、</w:t>
      </w:r>
      <w:r>
        <w:rPr>
          <w:rFonts w:hint="eastAsia" w:ascii="Times New Roman" w:hAnsi="Times New Roman" w:eastAsia="宋体"/>
          <w:szCs w:val="21"/>
        </w:rPr>
        <w:t>无条件接受采购人的监督和检查。</w:t>
      </w:r>
    </w:p>
    <w:p>
      <w:pPr>
        <w:spacing w:line="360" w:lineRule="auto"/>
        <w:jc w:val="left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2、对于有隐患的设备要登记好，</w:t>
      </w:r>
      <w:r>
        <w:rPr>
          <w:rFonts w:ascii="Times New Roman" w:hAnsi="Times New Roman" w:eastAsia="宋体"/>
          <w:szCs w:val="21"/>
        </w:rPr>
        <w:t xml:space="preserve"> </w:t>
      </w:r>
      <w:r>
        <w:rPr>
          <w:rFonts w:hint="eastAsia" w:ascii="Times New Roman" w:hAnsi="Times New Roman" w:eastAsia="宋体"/>
          <w:szCs w:val="21"/>
        </w:rPr>
        <w:t>及时反馈给采购人，并提出解决方案。</w:t>
      </w:r>
    </w:p>
    <w:p>
      <w:pPr>
        <w:spacing w:line="360" w:lineRule="auto"/>
        <w:jc w:val="left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3、提供的配件须为全新的，未使用过的，符合国家相关标准的。</w:t>
      </w:r>
    </w:p>
    <w:p>
      <w:pPr>
        <w:spacing w:line="360" w:lineRule="auto"/>
        <w:jc w:val="left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4、维修更换配件后，非自然损耗、地质下沉等原因造成的再次破损，须保质保修一年，期间产生的配件、人工、维修等费用由中标供应商承担。</w:t>
      </w:r>
    </w:p>
    <w:p>
      <w:pPr>
        <w:spacing w:line="360" w:lineRule="auto"/>
        <w:jc w:val="left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5、因中标供应商的过失导致影响系统无法正常运作的，由此造成的后果及经济损失由中标供应商承担。</w:t>
      </w:r>
    </w:p>
    <w:p>
      <w:pPr>
        <w:spacing w:line="360" w:lineRule="auto"/>
        <w:jc w:val="left"/>
        <w:rPr>
          <w:rFonts w:ascii="Times New Roman" w:hAnsi="Times New Roman" w:eastAsia="宋体"/>
          <w:b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七、验收</w:t>
      </w:r>
    </w:p>
    <w:p>
      <w:pPr>
        <w:spacing w:line="360" w:lineRule="auto"/>
        <w:jc w:val="left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1、中标供应商维修完成后，系统运行正常，无渗漏、漏水现象，确保系统运行安全。</w:t>
      </w:r>
    </w:p>
    <w:p>
      <w:pPr>
        <w:spacing w:line="360" w:lineRule="auto"/>
        <w:jc w:val="left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2、应更换质量可靠的、全新的配件，符合国家相关标准。</w:t>
      </w:r>
    </w:p>
    <w:p>
      <w:pPr>
        <w:spacing w:line="360" w:lineRule="auto"/>
        <w:jc w:val="left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3、维修过程中，维修人员应做好相关的防护，操作符合相关行业规程。</w:t>
      </w:r>
    </w:p>
    <w:p>
      <w:pPr>
        <w:spacing w:line="360" w:lineRule="auto"/>
        <w:jc w:val="left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4、保持设备和环境整洁，保持设备原有的电气、管道等设计回路，若确需更改，须得到采购人确认。</w:t>
      </w:r>
    </w:p>
    <w:p>
      <w:pPr>
        <w:spacing w:line="360" w:lineRule="auto"/>
        <w:jc w:val="left"/>
        <w:rPr>
          <w:rFonts w:ascii="Times New Roman" w:hAnsi="Times New Roman" w:eastAsia="宋体"/>
          <w:b/>
          <w:bCs/>
          <w:szCs w:val="21"/>
        </w:rPr>
      </w:pPr>
      <w:r>
        <w:rPr>
          <w:rFonts w:hint="eastAsia" w:ascii="Times New Roman" w:hAnsi="Times New Roman" w:eastAsia="宋体"/>
          <w:b/>
          <w:bCs/>
          <w:szCs w:val="21"/>
        </w:rPr>
        <w:t>八、费用支付及违约</w:t>
      </w:r>
    </w:p>
    <w:p>
      <w:pPr>
        <w:spacing w:line="560" w:lineRule="exact"/>
        <w:ind w:firstLine="373" w:firstLineChars="177"/>
        <w:rPr>
          <w:rFonts w:hint="eastAsia" w:ascii="Times New Roman" w:hAnsi="Times New Roman" w:eastAsia="宋体"/>
          <w:b/>
          <w:bCs/>
          <w:color w:val="auto"/>
          <w:szCs w:val="21"/>
          <w:lang w:val="en-US" w:eastAsia="zh-CN"/>
        </w:rPr>
      </w:pPr>
      <w:r>
        <w:rPr>
          <w:rFonts w:hint="eastAsia" w:ascii="Times New Roman" w:hAnsi="Times New Roman" w:eastAsia="宋体"/>
          <w:b/>
          <w:bCs/>
          <w:color w:val="auto"/>
          <w:szCs w:val="21"/>
          <w:lang w:val="en-US" w:eastAsia="zh-CN"/>
        </w:rPr>
        <w:t>（一）本项目按实结算，合同签订后，采购人根据成交供应商每次所需维修材料内容清单进行结算。经双方确认验收合格后，成交供应商开具该次维修的有效全额普通发票（含税），采购人在收到发票并审核无误后一个月内付款给成交供应商。</w:t>
      </w:r>
    </w:p>
    <w:p>
      <w:pPr>
        <w:spacing w:line="560" w:lineRule="exact"/>
        <w:ind w:firstLine="371" w:firstLineChars="177"/>
        <w:rPr>
          <w:rFonts w:hint="default" w:ascii="Times New Roman" w:hAnsi="Times New Roman" w:eastAsia="宋体"/>
          <w:color w:val="auto"/>
          <w:szCs w:val="21"/>
          <w:lang w:val="en-US" w:eastAsia="zh-CN"/>
        </w:rPr>
      </w:pPr>
      <w:r>
        <w:rPr>
          <w:rFonts w:hint="eastAsia" w:ascii="Times New Roman" w:hAnsi="Times New Roman" w:eastAsia="宋体"/>
          <w:color w:val="auto"/>
          <w:szCs w:val="21"/>
          <w:lang w:val="en-US" w:eastAsia="zh-CN"/>
        </w:rPr>
        <w:t>（三）成交供应商须开具与响应文件中报价人名称、响应报价一致的普通发票。</w:t>
      </w:r>
    </w:p>
    <w:p>
      <w:pPr>
        <w:spacing w:line="560" w:lineRule="exact"/>
        <w:ind w:firstLine="371" w:firstLineChars="177"/>
        <w:rPr>
          <w:rFonts w:ascii="Times New Roman" w:hAnsi="Times New Roman" w:eastAsia="宋体"/>
          <w:color w:val="auto"/>
          <w:szCs w:val="21"/>
        </w:rPr>
      </w:pPr>
      <w:r>
        <w:rPr>
          <w:rFonts w:hint="eastAsia" w:ascii="Times New Roman" w:hAnsi="Times New Roman" w:eastAsia="宋体"/>
          <w:color w:val="auto"/>
          <w:szCs w:val="21"/>
          <w:lang w:val="en-US" w:eastAsia="zh-CN"/>
        </w:rPr>
        <w:t>（四）若中标供应商未在规定时间内响应采购人，中标供应</w:t>
      </w:r>
      <w:r>
        <w:rPr>
          <w:rFonts w:hint="eastAsia" w:ascii="Times New Roman" w:hAnsi="Times New Roman" w:eastAsia="宋体"/>
          <w:color w:val="auto"/>
          <w:szCs w:val="21"/>
        </w:rPr>
        <w:t>商向采购人支付当次维修金额5‰的违约金，若造成采购人经济损失，由中标供应商承担。</w:t>
      </w:r>
    </w:p>
    <w:p>
      <w:pPr>
        <w:spacing w:line="360" w:lineRule="auto"/>
        <w:ind w:firstLine="420" w:firstLineChars="200"/>
        <w:jc w:val="left"/>
        <w:rPr>
          <w:rFonts w:ascii="Times New Roman" w:hAnsi="Times New Roman" w:eastAsia="宋体"/>
          <w:color w:val="auto"/>
          <w:szCs w:val="21"/>
        </w:rPr>
      </w:pPr>
      <w:r>
        <w:rPr>
          <w:rFonts w:hint="eastAsia" w:ascii="Times New Roman" w:hAnsi="Times New Roman" w:eastAsia="宋体"/>
          <w:color w:val="auto"/>
          <w:szCs w:val="21"/>
          <w:lang w:eastAsia="zh-CN"/>
        </w:rPr>
        <w:t>（</w:t>
      </w:r>
      <w:r>
        <w:rPr>
          <w:rFonts w:hint="eastAsia" w:ascii="Times New Roman" w:hAnsi="Times New Roman" w:eastAsia="宋体"/>
          <w:color w:val="auto"/>
          <w:szCs w:val="21"/>
          <w:lang w:val="en-US" w:eastAsia="zh-CN"/>
        </w:rPr>
        <w:t>五</w:t>
      </w:r>
      <w:r>
        <w:rPr>
          <w:rFonts w:hint="eastAsia" w:ascii="Times New Roman" w:hAnsi="Times New Roman" w:eastAsia="宋体"/>
          <w:color w:val="auto"/>
          <w:szCs w:val="21"/>
          <w:lang w:eastAsia="zh-CN"/>
        </w:rPr>
        <w:t>）</w:t>
      </w:r>
      <w:r>
        <w:rPr>
          <w:rFonts w:hint="eastAsia" w:ascii="Times New Roman" w:hAnsi="Times New Roman" w:eastAsia="宋体"/>
          <w:color w:val="auto"/>
          <w:szCs w:val="21"/>
        </w:rPr>
        <w:t>中标供应商提供的配件非全新、不符合国家相关标准的，中标供应商向采购人支付质量不达标配件金额5‰的违约金，若造成采购人经济损失，由中标供应商承担。</w:t>
      </w:r>
    </w:p>
    <w:p>
      <w:pPr>
        <w:spacing w:line="360" w:lineRule="auto"/>
        <w:ind w:firstLine="420" w:firstLineChars="200"/>
        <w:jc w:val="left"/>
        <w:rPr>
          <w:rFonts w:ascii="Times New Roman" w:hAnsi="Times New Roman" w:eastAsia="宋体"/>
          <w:color w:val="auto"/>
          <w:szCs w:val="21"/>
        </w:rPr>
      </w:pPr>
      <w:r>
        <w:rPr>
          <w:rFonts w:hint="eastAsia" w:ascii="Times New Roman" w:hAnsi="Times New Roman" w:eastAsia="宋体"/>
          <w:color w:val="auto"/>
          <w:szCs w:val="21"/>
          <w:lang w:eastAsia="zh-CN"/>
        </w:rPr>
        <w:t>（</w:t>
      </w:r>
      <w:r>
        <w:rPr>
          <w:rFonts w:hint="eastAsia" w:ascii="Times New Roman" w:hAnsi="Times New Roman" w:eastAsia="宋体"/>
          <w:color w:val="auto"/>
          <w:szCs w:val="21"/>
          <w:lang w:val="en-US" w:eastAsia="zh-CN"/>
        </w:rPr>
        <w:t>六</w:t>
      </w:r>
      <w:r>
        <w:rPr>
          <w:rFonts w:hint="eastAsia" w:ascii="Times New Roman" w:hAnsi="Times New Roman" w:eastAsia="宋体"/>
          <w:color w:val="auto"/>
          <w:szCs w:val="21"/>
          <w:lang w:eastAsia="zh-CN"/>
        </w:rPr>
        <w:t>）</w:t>
      </w:r>
      <w:r>
        <w:rPr>
          <w:rFonts w:hint="eastAsia" w:ascii="Times New Roman" w:hAnsi="Times New Roman" w:eastAsia="宋体"/>
          <w:color w:val="auto"/>
          <w:szCs w:val="21"/>
        </w:rPr>
        <w:t>中标供应商因维修时间过长，造成采购人巨大经济损失的，由中标供应商承担相应的损失。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DengXian Regular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2Nzk3NzUwMGUwNGNhMDMwYmI3NjJjZDM0MWY5MzYifQ=="/>
  </w:docVars>
  <w:rsids>
    <w:rsidRoot w:val="7D5D61DB"/>
    <w:rsid w:val="21273F6C"/>
    <w:rsid w:val="667353AA"/>
    <w:rsid w:val="7D5D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jc w:val="center"/>
    </w:pPr>
    <w:rPr>
      <w:rFonts w:ascii="华文新魏" w:eastAsia="华文新魏"/>
      <w:sz w:val="48"/>
      <w:szCs w:val="44"/>
    </w:rPr>
  </w:style>
  <w:style w:type="paragraph" w:customStyle="1" w:styleId="3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4">
    <w:name w:val="Plain Text"/>
    <w:basedOn w:val="1"/>
    <w:autoRedefine/>
    <w:qFormat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2024-01-03T03:18:00Z</dcterms:created>
  <dc:creator>Administrator</dc:creator>
  <cp:lastModifiedBy>Administrator</cp:lastModifiedBy>
  <dcterms:modified xsi:type="dcterms:W3CDTF">2024-01-03T03:53:23Z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D5FDC914BFBD48B1929836EB1C13863A_11</vt:lpwstr>
  </property>
</Properties>
</file>