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3.本项目不接受联合体、中标供应商不得以任何方式转包本项目。</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4.单位负责人为同一人或者存在直接控股、关联关系的不同投标人，不得参加同一合同项下的招标活动。</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5.★投标供应商应该符合《医疗器械经营质量管理规范》和《医疗器械监督管理条例》规定，并结合本项目特性提供有效的医疗器械产品注册/备案证明材料和投标供应商的经营许可/备案证明材料。</w:t>
      </w:r>
    </w:p>
    <w:p>
      <w:pPr>
        <w:spacing w:line="440" w:lineRule="exact"/>
        <w:rPr>
          <w:rFonts w:hint="default" w:ascii="仿宋" w:hAnsi="仿宋" w:eastAsia="仿宋" w:cs="仿宋"/>
          <w:color w:val="000000" w:themeColor="text1"/>
          <w:sz w:val="24"/>
          <w:highlight w:val="red"/>
          <w:lang w:val="en-US" w:eastAsia="zh-CN"/>
          <w14:textFill>
            <w14:solidFill>
              <w14:schemeClr w14:val="tx1"/>
            </w14:solidFill>
          </w14:textFill>
        </w:rPr>
      </w:pPr>
      <w:r>
        <w:rPr>
          <w:rFonts w:hint="eastAsia" w:ascii="仿宋" w:hAnsi="仿宋" w:eastAsia="仿宋" w:cs="仿宋"/>
          <w:color w:val="000000" w:themeColor="text1"/>
          <w:sz w:val="24"/>
          <w:highlight w:val="red"/>
          <w:lang w:val="en-US" w:eastAsia="zh-CN"/>
          <w14:textFill>
            <w14:solidFill>
              <w14:schemeClr w14:val="tx1"/>
            </w14:solidFill>
          </w14:textFill>
        </w:rPr>
        <w:t>6.投标供应商所投标的若为进口产品 ，须提相应供产品授权书。</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.本文的“质保期”是指中标标的物经约定的验收机构完成验收之日起算，截止中标人承诺的期限。</w:t>
      </w:r>
    </w:p>
    <w:p>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8.本项目不允许兼投，投标供应商能且只能选择其中一个包组进行参投。</w:t>
      </w:r>
    </w:p>
    <w:p>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 </w:t>
      </w:r>
    </w:p>
    <w:p>
      <w:pPr>
        <w:spacing w:line="440" w:lineRule="exact"/>
        <w:rPr>
          <w:rFonts w:hint="eastAsia" w:ascii="仿宋" w:hAnsi="仿宋" w:eastAsia="仿宋" w:cs="仿宋"/>
          <w:color w:val="000000" w:themeColor="text1"/>
          <w:sz w:val="24"/>
          <w:lang w:val="en-US" w:eastAsia="zh-CN"/>
          <w14:textFill>
            <w14:solidFill>
              <w14:schemeClr w14:val="tx1"/>
            </w14:solidFill>
          </w14:textFill>
        </w:rPr>
      </w:pPr>
    </w:p>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b/>
          <w:bCs/>
          <w:color w:val="000000" w:themeColor="text1"/>
          <w:sz w:val="40"/>
          <w:szCs w:val="40"/>
          <w:lang w:val="en-US" w:eastAsia="zh-CN"/>
          <w14:textFill>
            <w14:solidFill>
              <w14:schemeClr w14:val="tx1"/>
            </w14:solidFill>
          </w14:textFill>
        </w:rPr>
        <w:t>包组一</w:t>
      </w:r>
    </w:p>
    <w:p>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高频手术系统</w:t>
            </w:r>
          </w:p>
        </w:tc>
        <w:tc>
          <w:tcPr>
            <w:tcW w:w="2268"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消化内科</w:t>
            </w:r>
          </w:p>
        </w:tc>
        <w:tc>
          <w:tcPr>
            <w:tcW w:w="2508"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1套</w:t>
            </w:r>
          </w:p>
        </w:tc>
      </w:tr>
    </w:tbl>
    <w:p>
      <w:pPr>
        <w:spacing w:line="440" w:lineRule="exact"/>
        <w:rPr>
          <w:rFonts w:ascii="仿宋" w:hAnsi="仿宋" w:eastAsia="仿宋" w:cs="仿宋"/>
          <w:color w:val="000000"/>
          <w:sz w:val="24"/>
        </w:rPr>
      </w:pPr>
      <w:r>
        <w:rPr>
          <w:rFonts w:hint="eastAsia" w:ascii="仿宋" w:hAnsi="仿宋" w:eastAsia="仿宋" w:cs="仿宋"/>
          <w:b/>
          <w:color w:val="000000" w:themeColor="text1"/>
          <w:sz w:val="24"/>
          <w14:textFill>
            <w14:solidFill>
              <w14:schemeClr w14:val="tx1"/>
            </w14:solidFill>
          </w14:textFill>
        </w:rPr>
        <w:t>核心产品</w:t>
      </w:r>
      <w:r>
        <w:rPr>
          <w:rFonts w:hint="eastAsia" w:ascii="仿宋" w:hAnsi="仿宋" w:eastAsia="仿宋" w:cs="仿宋"/>
          <w:color w:val="000000"/>
          <w:sz w:val="24"/>
        </w:rPr>
        <w:t>：内镜高频手术系统</w:t>
      </w:r>
    </w:p>
    <w:p>
      <w:pPr>
        <w:snapToGrid w:val="0"/>
        <w:spacing w:line="400" w:lineRule="exact"/>
        <w:rPr>
          <w:rFonts w:ascii="仿宋" w:hAnsi="仿宋" w:eastAsia="仿宋" w:cs="仿宋"/>
          <w:color w:val="000000"/>
          <w:sz w:val="24"/>
        </w:rPr>
      </w:pPr>
      <w:r>
        <w:rPr>
          <w:rFonts w:hint="eastAsia" w:ascii="仿宋" w:hAnsi="仿宋" w:eastAsia="仿宋" w:cs="仿宋"/>
          <w:b/>
          <w:color w:val="000000" w:themeColor="text1"/>
          <w:sz w:val="24"/>
          <w14:textFill>
            <w14:solidFill>
              <w14:schemeClr w14:val="tx1"/>
            </w14:solidFill>
          </w14:textFill>
        </w:rPr>
        <w:t>用途</w:t>
      </w:r>
      <w:r>
        <w:rPr>
          <w:rFonts w:hint="eastAsia" w:ascii="宋体" w:hAnsi="宋体"/>
          <w:color w:val="000000" w:themeColor="text1"/>
          <w:szCs w:val="21"/>
          <w14:textFill>
            <w14:solidFill>
              <w14:schemeClr w14:val="tx1"/>
            </w14:solidFill>
          </w14:textFill>
        </w:rPr>
        <w:t>：</w:t>
      </w:r>
      <w:r>
        <w:rPr>
          <w:rFonts w:hint="eastAsia" w:ascii="仿宋" w:hAnsi="仿宋" w:eastAsia="仿宋" w:cs="仿宋"/>
          <w:color w:val="000000"/>
          <w:sz w:val="24"/>
        </w:rPr>
        <w:t>主要用于早期癌及癌前病变粘膜切除；内镜下止血；息肉切除；十二指肠乳头切开等治疗。</w:t>
      </w:r>
    </w:p>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pPr>
        <w:numPr>
          <w:ilvl w:val="0"/>
          <w:numId w:val="2"/>
        </w:numPr>
        <w:spacing w:line="440" w:lineRule="exact"/>
        <w:rPr>
          <w:rFonts w:hint="eastAsia" w:ascii="仿宋" w:hAnsi="仿宋" w:eastAsia="仿宋" w:cs="仿宋"/>
          <w:color w:val="000000"/>
          <w:sz w:val="24"/>
        </w:rPr>
      </w:pPr>
      <w:r>
        <w:rPr>
          <w:rFonts w:hint="eastAsia"/>
        </w:rPr>
        <w:t>▲</w:t>
      </w:r>
      <w:r>
        <w:rPr>
          <w:rFonts w:hint="eastAsia" w:ascii="仿宋" w:hAnsi="仿宋" w:eastAsia="仿宋" w:cs="仿宋"/>
          <w:color w:val="000000"/>
          <w:sz w:val="24"/>
        </w:rPr>
        <w:t>主机单极手动可调功率≥360W，具有内镜下电切电流模式。</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采用先进的变频处理器，主频率≥3 种，可以根据阻抗的反馈自动调整频率的同时调整功率的输出，具有更好的切割凝血效果和更少的损伤。</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▲超大彩色工作界面（彩色液晶显示器≥8.4 英寸），全中文显示各手术模块相关信息，并可以中文名存储自定义手术程序，方便临床使用。</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具有安全可靠的病人控制系统双回路监测，实时监控功率输出和中性电极板的使用，出现异常，病人控制系统（PCS）立即停止高频输出，发出声光报警。</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▲主机可升级7MM血管闭合功能,可安全闭合≥7MM的血管，淋巴管。以便开展双镜联合手术。</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▲高频手术系统主机同时具备单极输出工作插口≥2，双极输出工作通道≥2。主机单极电切模式≥13种，单极电凝模式≥16种。主机双极电切模式≥3种，双极电凝模式≥10种。</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具有≥2 种息肉切割模式，≥3 种乳头切开模式，≥1 种 ESD 手术模式，内镜下电切模式自动将切割过程分为切割和凝血两部分，两部分交替进行，切割速度受自动控制，可避免由于切割速度太快凝血不足而导致出血过多，也可以避免由于切割速度太慢造成凝固过度而导致组织穿孔或其它热损伤。</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具有混切脉冲乳头切割电流模式</w:t>
      </w:r>
      <w:r>
        <w:rPr>
          <w:rFonts w:hint="eastAsia" w:ascii="仿宋" w:hAnsi="仿宋" w:eastAsia="仿宋" w:cs="仿宋"/>
          <w:color w:val="000000"/>
          <w:sz w:val="24"/>
          <w:lang w:eastAsia="zh-CN"/>
        </w:rPr>
        <w:t>。</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具有纯切脉冲乳头切割电流模式</w:t>
      </w:r>
      <w:r>
        <w:rPr>
          <w:rFonts w:hint="eastAsia" w:ascii="仿宋" w:hAnsi="仿宋" w:eastAsia="仿宋" w:cs="仿宋"/>
          <w:color w:val="000000"/>
          <w:sz w:val="24"/>
          <w:lang w:eastAsia="zh-CN"/>
        </w:rPr>
        <w:t>。</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具有纯切连续乳头切割模式</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▲具有 ESD 手术专用模式</w:t>
      </w:r>
      <w:r>
        <w:rPr>
          <w:rFonts w:hint="eastAsia" w:ascii="仿宋" w:hAnsi="仿宋" w:eastAsia="仿宋" w:cs="仿宋"/>
          <w:color w:val="000000"/>
          <w:sz w:val="24"/>
          <w:lang w:eastAsia="zh-CN"/>
        </w:rPr>
        <w:t>。</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ENDO CUT IQ（内镜下智能电切模式）具有切割速度具有≥4档可调，每档切割的同时具有≥4档凝血效果可调。</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▲具有内镜下喷射凝血模式（非氩气喷射凝血模式），该模式峰值电压≤4000Vp。</w:t>
      </w:r>
    </w:p>
    <w:p>
      <w:pPr>
        <w:numPr>
          <w:ilvl w:val="0"/>
          <w:numId w:val="2"/>
        </w:numPr>
        <w:spacing w:line="440" w:lineRule="exact"/>
        <w:rPr>
          <w:rFonts w:hint="eastAsia" w:ascii="仿宋" w:hAnsi="仿宋" w:eastAsia="仿宋" w:cs="仿宋"/>
          <w:color w:val="000000"/>
          <w:sz w:val="24"/>
        </w:rPr>
      </w:pPr>
      <w:r>
        <w:rPr>
          <w:rFonts w:hint="eastAsia" w:ascii="仿宋" w:hAnsi="仿宋" w:eastAsia="仿宋" w:cs="仿宋"/>
          <w:color w:val="000000"/>
          <w:sz w:val="24"/>
        </w:rPr>
        <w:t>▲可升级为同品牌的氩气刀。</w:t>
      </w:r>
    </w:p>
    <w:p>
      <w:pPr>
        <w:numPr>
          <w:ilvl w:val="0"/>
          <w:numId w:val="2"/>
        </w:num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负极板采用一次性使用型负极板，设备可匹配市面任意一款负极板使用。</w:t>
      </w:r>
    </w:p>
    <w:p>
      <w:pPr>
        <w:numPr>
          <w:ilvl w:val="0"/>
          <w:numId w:val="0"/>
        </w:numPr>
        <w:spacing w:line="440" w:lineRule="exact"/>
        <w:rPr>
          <w:rFonts w:hint="default" w:ascii="仿宋" w:hAnsi="仿宋" w:eastAsia="仿宋" w:cs="仿宋"/>
          <w:b/>
          <w:color w:val="000000" w:themeColor="text1"/>
          <w:sz w:val="24"/>
          <w:lang w:val="en-US" w:eastAsia="zh-CN"/>
          <w14:textFill>
            <w14:solidFill>
              <w14:schemeClr w14:val="tx1"/>
            </w14:solidFill>
          </w14:textFill>
        </w:rPr>
      </w:pPr>
    </w:p>
    <w:p>
      <w:pPr>
        <w:numPr>
          <w:ilvl w:val="0"/>
          <w:numId w:val="0"/>
        </w:numPr>
        <w:spacing w:line="440" w:lineRule="exact"/>
        <w:rPr>
          <w:rFonts w:hint="default" w:ascii="仿宋" w:hAnsi="仿宋" w:eastAsia="仿宋" w:cs="仿宋"/>
          <w:b/>
          <w:color w:val="000000" w:themeColor="text1"/>
          <w:sz w:val="24"/>
          <w:lang w:val="en-US" w:eastAsia="zh-CN"/>
          <w14:textFill>
            <w14:solidFill>
              <w14:schemeClr w14:val="tx1"/>
            </w14:solidFill>
          </w14:textFill>
        </w:rPr>
      </w:pPr>
    </w:p>
    <w:p>
      <w:pPr>
        <w:numPr>
          <w:ilvl w:val="0"/>
          <w:numId w:val="0"/>
        </w:numPr>
        <w:spacing w:line="440" w:lineRule="exact"/>
        <w:rPr>
          <w:rFonts w:hint="default" w:ascii="仿宋" w:hAnsi="仿宋" w:eastAsia="仿宋" w:cs="仿宋"/>
          <w:b/>
          <w:color w:val="000000" w:themeColor="text1"/>
          <w:sz w:val="24"/>
          <w:lang w:val="en-US" w:eastAsia="zh-CN"/>
          <w14:textFill>
            <w14:solidFill>
              <w14:schemeClr w14:val="tx1"/>
            </w14:solidFill>
          </w14:textFill>
        </w:rPr>
      </w:pPr>
    </w:p>
    <w:p>
      <w:pPr>
        <w:numPr>
          <w:ilvl w:val="0"/>
          <w:numId w:val="0"/>
        </w:numPr>
        <w:spacing w:line="440" w:lineRule="exact"/>
        <w:rPr>
          <w:rFonts w:hint="default" w:ascii="仿宋" w:hAnsi="仿宋" w:eastAsia="仿宋" w:cs="仿宋"/>
          <w:b/>
          <w:color w:val="000000" w:themeColor="text1"/>
          <w:sz w:val="24"/>
          <w:lang w:val="en-US" w:eastAsia="zh-CN"/>
          <w14:textFill>
            <w14:solidFill>
              <w14:schemeClr w14:val="tx1"/>
            </w14:solidFill>
          </w14:textFill>
        </w:rPr>
      </w:pPr>
    </w:p>
    <w:p>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134"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w:t>
            </w:r>
          </w:p>
        </w:tc>
        <w:tc>
          <w:tcPr>
            <w:tcW w:w="4490"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c>
          <w:tcPr>
            <w:tcW w:w="96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920"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34" w:type="dxa"/>
          </w:tcPr>
          <w:p>
            <w:pPr>
              <w:spacing w:line="440" w:lineRule="exact"/>
              <w:rPr>
                <w:rFonts w:ascii="仿宋" w:hAnsi="仿宋" w:eastAsia="仿宋" w:cs="仿宋"/>
              </w:rPr>
            </w:pPr>
            <w:r>
              <w:rPr>
                <w:rFonts w:hint="eastAsia" w:ascii="仿宋" w:hAnsi="仿宋" w:eastAsia="仿宋" w:cs="仿宋"/>
              </w:rPr>
              <w:t xml:space="preserve"> 主机</w:t>
            </w:r>
          </w:p>
        </w:tc>
        <w:tc>
          <w:tcPr>
            <w:tcW w:w="4490" w:type="dxa"/>
          </w:tcPr>
          <w:p>
            <w:pPr>
              <w:spacing w:line="440" w:lineRule="exact"/>
              <w:rPr>
                <w:rFonts w:ascii="仿宋" w:hAnsi="仿宋" w:eastAsia="仿宋" w:cs="仿宋"/>
              </w:rPr>
            </w:pPr>
            <w:r>
              <w:rPr>
                <w:rFonts w:hint="eastAsia" w:ascii="仿宋" w:hAnsi="仿宋" w:eastAsia="仿宋" w:cs="仿宋"/>
              </w:rPr>
              <w:t xml:space="preserve"> 高频手术系统主机</w:t>
            </w:r>
          </w:p>
        </w:tc>
        <w:tc>
          <w:tcPr>
            <w:tcW w:w="969" w:type="dxa"/>
          </w:tcPr>
          <w:p>
            <w:pPr>
              <w:spacing w:line="440" w:lineRule="exact"/>
              <w:rPr>
                <w:rFonts w:ascii="仿宋" w:hAnsi="仿宋" w:eastAsia="仿宋" w:cs="仿宋"/>
              </w:rPr>
            </w:pPr>
            <w:r>
              <w:rPr>
                <w:rFonts w:hint="eastAsia" w:ascii="仿宋" w:hAnsi="仿宋" w:eastAsia="仿宋" w:cs="仿宋"/>
              </w:rPr>
              <w:t xml:space="preserve">1 </w:t>
            </w:r>
          </w:p>
        </w:tc>
        <w:tc>
          <w:tcPr>
            <w:tcW w:w="920" w:type="dxa"/>
          </w:tcPr>
          <w:p>
            <w:pPr>
              <w:spacing w:line="440" w:lineRule="exact"/>
              <w:rPr>
                <w:rFonts w:ascii="仿宋" w:hAnsi="仿宋" w:eastAsia="仿宋" w:cs="仿宋"/>
              </w:rPr>
            </w:pPr>
            <w:r>
              <w:rPr>
                <w:rFonts w:hint="eastAsia" w:ascii="仿宋" w:hAnsi="仿宋" w:eastAsia="仿宋" w:cs="仿宋"/>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34" w:type="dxa"/>
          </w:tcPr>
          <w:p>
            <w:pPr>
              <w:spacing w:line="440" w:lineRule="exact"/>
              <w:rPr>
                <w:rFonts w:ascii="仿宋" w:hAnsi="仿宋" w:eastAsia="仿宋" w:cs="仿宋"/>
              </w:rPr>
            </w:pPr>
            <w:r>
              <w:rPr>
                <w:rFonts w:ascii="仿宋" w:hAnsi="仿宋" w:eastAsia="仿宋" w:cs="仿宋"/>
              </w:rPr>
              <w:t>软件</w:t>
            </w:r>
          </w:p>
        </w:tc>
        <w:tc>
          <w:tcPr>
            <w:tcW w:w="4490" w:type="dxa"/>
          </w:tcPr>
          <w:p>
            <w:pPr>
              <w:spacing w:line="440" w:lineRule="exact"/>
              <w:rPr>
                <w:rFonts w:ascii="仿宋" w:hAnsi="仿宋" w:eastAsia="仿宋" w:cs="仿宋"/>
              </w:rPr>
            </w:pPr>
            <w:r>
              <w:rPr>
                <w:rFonts w:hint="eastAsia" w:ascii="仿宋" w:hAnsi="仿宋" w:eastAsia="仿宋" w:cs="仿宋"/>
              </w:rPr>
              <w:t>内镜智能电切软件</w:t>
            </w:r>
          </w:p>
        </w:tc>
        <w:tc>
          <w:tcPr>
            <w:tcW w:w="969" w:type="dxa"/>
          </w:tcPr>
          <w:p>
            <w:pPr>
              <w:spacing w:line="440" w:lineRule="exact"/>
              <w:rPr>
                <w:rFonts w:ascii="仿宋" w:hAnsi="仿宋" w:eastAsia="仿宋" w:cs="仿宋"/>
              </w:rPr>
            </w:pPr>
            <w:r>
              <w:rPr>
                <w:rFonts w:hint="eastAsia" w:ascii="仿宋" w:hAnsi="仿宋" w:eastAsia="仿宋" w:cs="仿宋"/>
              </w:rPr>
              <w:t>1</w:t>
            </w:r>
            <w:r>
              <w:rPr>
                <w:rFonts w:ascii="仿宋" w:hAnsi="仿宋" w:eastAsia="仿宋" w:cs="仿宋"/>
              </w:rPr>
              <w:t xml:space="preserve"> </w:t>
            </w:r>
          </w:p>
        </w:tc>
        <w:tc>
          <w:tcPr>
            <w:tcW w:w="920" w:type="dxa"/>
          </w:tcPr>
          <w:p>
            <w:pPr>
              <w:spacing w:line="440" w:lineRule="exact"/>
              <w:rPr>
                <w:rFonts w:ascii="仿宋" w:hAnsi="仿宋" w:eastAsia="仿宋" w:cs="仿宋"/>
              </w:rPr>
            </w:pPr>
            <w:r>
              <w:rPr>
                <w:rFonts w:hint="eastAsia" w:ascii="仿宋" w:hAnsi="仿宋" w:eastAsia="仿宋" w:cs="仿宋"/>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134" w:type="dxa"/>
          </w:tcPr>
          <w:p>
            <w:pPr>
              <w:spacing w:line="440" w:lineRule="exact"/>
              <w:rPr>
                <w:rFonts w:ascii="仿宋" w:hAnsi="仿宋" w:eastAsia="仿宋" w:cs="仿宋"/>
              </w:rPr>
            </w:pPr>
            <w:r>
              <w:rPr>
                <w:rFonts w:hint="eastAsia" w:ascii="仿宋" w:hAnsi="仿宋" w:eastAsia="仿宋" w:cs="仿宋"/>
              </w:rPr>
              <w:t>导线</w:t>
            </w:r>
          </w:p>
        </w:tc>
        <w:tc>
          <w:tcPr>
            <w:tcW w:w="4490" w:type="dxa"/>
          </w:tcPr>
          <w:p>
            <w:pPr>
              <w:spacing w:line="440" w:lineRule="exact"/>
              <w:rPr>
                <w:rFonts w:ascii="仿宋" w:hAnsi="仿宋" w:eastAsia="仿宋" w:cs="仿宋"/>
              </w:rPr>
            </w:pPr>
            <w:r>
              <w:rPr>
                <w:rFonts w:hint="eastAsia" w:ascii="仿宋" w:hAnsi="仿宋" w:eastAsia="仿宋" w:cs="仿宋"/>
              </w:rPr>
              <w:t>负极板导线</w:t>
            </w:r>
          </w:p>
        </w:tc>
        <w:tc>
          <w:tcPr>
            <w:tcW w:w="969" w:type="dxa"/>
          </w:tcPr>
          <w:p>
            <w:pPr>
              <w:spacing w:line="440" w:lineRule="exact"/>
              <w:rPr>
                <w:rFonts w:ascii="仿宋" w:hAnsi="仿宋" w:eastAsia="仿宋" w:cs="仿宋"/>
              </w:rPr>
            </w:pPr>
            <w:r>
              <w:rPr>
                <w:rFonts w:hint="eastAsia" w:ascii="仿宋" w:hAnsi="仿宋" w:eastAsia="仿宋" w:cs="仿宋"/>
              </w:rPr>
              <w:t>1</w:t>
            </w:r>
          </w:p>
        </w:tc>
        <w:tc>
          <w:tcPr>
            <w:tcW w:w="920" w:type="dxa"/>
          </w:tcPr>
          <w:p>
            <w:pPr>
              <w:spacing w:line="440" w:lineRule="exact"/>
              <w:rPr>
                <w:rFonts w:ascii="仿宋" w:hAnsi="仿宋" w:eastAsia="仿宋" w:cs="仿宋"/>
              </w:rPr>
            </w:pPr>
            <w:r>
              <w:rPr>
                <w:rFonts w:hint="eastAsia" w:ascii="仿宋" w:hAnsi="仿宋" w:eastAsia="仿宋" w:cs="仿宋"/>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134" w:type="dxa"/>
          </w:tcPr>
          <w:p>
            <w:pPr>
              <w:spacing w:line="440" w:lineRule="exact"/>
              <w:rPr>
                <w:rFonts w:ascii="仿宋" w:hAnsi="仿宋" w:eastAsia="仿宋" w:cs="仿宋"/>
              </w:rPr>
            </w:pPr>
            <w:r>
              <w:rPr>
                <w:rFonts w:hint="eastAsia" w:ascii="仿宋" w:hAnsi="仿宋" w:eastAsia="仿宋" w:cs="仿宋"/>
              </w:rPr>
              <w:t>脚踏</w:t>
            </w:r>
          </w:p>
        </w:tc>
        <w:tc>
          <w:tcPr>
            <w:tcW w:w="4490" w:type="dxa"/>
          </w:tcPr>
          <w:p>
            <w:pPr>
              <w:spacing w:line="440" w:lineRule="exact"/>
              <w:rPr>
                <w:rFonts w:ascii="仿宋" w:hAnsi="仿宋" w:eastAsia="仿宋" w:cs="仿宋"/>
              </w:rPr>
            </w:pPr>
            <w:r>
              <w:rPr>
                <w:rFonts w:hint="eastAsia" w:ascii="仿宋" w:hAnsi="仿宋" w:eastAsia="仿宋" w:cs="仿宋"/>
              </w:rPr>
              <w:t>双脚踏开关</w:t>
            </w:r>
          </w:p>
        </w:tc>
        <w:tc>
          <w:tcPr>
            <w:tcW w:w="969" w:type="dxa"/>
          </w:tcPr>
          <w:p>
            <w:pPr>
              <w:spacing w:line="440" w:lineRule="exact"/>
              <w:rPr>
                <w:rFonts w:ascii="仿宋" w:hAnsi="仿宋" w:eastAsia="仿宋" w:cs="仿宋"/>
              </w:rPr>
            </w:pPr>
            <w:r>
              <w:rPr>
                <w:rFonts w:hint="eastAsia" w:ascii="仿宋" w:hAnsi="仿宋" w:eastAsia="仿宋" w:cs="仿宋"/>
              </w:rPr>
              <w:t>1</w:t>
            </w:r>
          </w:p>
        </w:tc>
        <w:tc>
          <w:tcPr>
            <w:tcW w:w="920" w:type="dxa"/>
          </w:tcPr>
          <w:p>
            <w:pPr>
              <w:spacing w:line="440" w:lineRule="exact"/>
              <w:rPr>
                <w:rFonts w:ascii="仿宋" w:hAnsi="仿宋" w:eastAsia="仿宋" w:cs="仿宋"/>
              </w:rPr>
            </w:pPr>
            <w:r>
              <w:rPr>
                <w:rFonts w:hint="eastAsia" w:ascii="仿宋" w:hAnsi="仿宋" w:eastAsia="仿宋" w:cs="仿宋"/>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134" w:type="dxa"/>
          </w:tcPr>
          <w:p>
            <w:pPr>
              <w:spacing w:line="440" w:lineRule="exact"/>
              <w:rPr>
                <w:rFonts w:ascii="仿宋" w:hAnsi="仿宋" w:eastAsia="仿宋" w:cs="仿宋"/>
              </w:rPr>
            </w:pPr>
            <w:r>
              <w:rPr>
                <w:rFonts w:hint="eastAsia" w:ascii="仿宋" w:hAnsi="仿宋" w:eastAsia="仿宋" w:cs="仿宋"/>
              </w:rPr>
              <w:t>单极连线</w:t>
            </w:r>
          </w:p>
        </w:tc>
        <w:tc>
          <w:tcPr>
            <w:tcW w:w="4490" w:type="dxa"/>
          </w:tcPr>
          <w:p>
            <w:pPr>
              <w:spacing w:line="440" w:lineRule="exact"/>
              <w:rPr>
                <w:rFonts w:ascii="仿宋" w:hAnsi="仿宋" w:eastAsia="仿宋" w:cs="仿宋"/>
              </w:rPr>
            </w:pPr>
            <w:r>
              <w:rPr>
                <w:rFonts w:hint="eastAsia" w:ascii="仿宋" w:hAnsi="仿宋" w:eastAsia="仿宋" w:cs="仿宋"/>
              </w:rPr>
              <w:t>高频单极圈套器连线</w:t>
            </w:r>
          </w:p>
        </w:tc>
        <w:tc>
          <w:tcPr>
            <w:tcW w:w="969" w:type="dxa"/>
          </w:tcPr>
          <w:p>
            <w:pPr>
              <w:spacing w:line="440" w:lineRule="exact"/>
              <w:rPr>
                <w:rFonts w:ascii="仿宋" w:hAnsi="仿宋" w:eastAsia="仿宋" w:cs="仿宋"/>
              </w:rPr>
            </w:pPr>
            <w:r>
              <w:rPr>
                <w:rFonts w:hint="eastAsia" w:ascii="仿宋" w:hAnsi="仿宋" w:eastAsia="仿宋" w:cs="仿宋"/>
              </w:rPr>
              <w:t>1</w:t>
            </w:r>
          </w:p>
        </w:tc>
        <w:tc>
          <w:tcPr>
            <w:tcW w:w="920" w:type="dxa"/>
          </w:tcPr>
          <w:p>
            <w:pPr>
              <w:spacing w:line="440" w:lineRule="exact"/>
              <w:rPr>
                <w:rFonts w:ascii="仿宋" w:hAnsi="仿宋" w:eastAsia="仿宋" w:cs="仿宋"/>
              </w:rPr>
            </w:pPr>
            <w:r>
              <w:rPr>
                <w:rFonts w:hint="eastAsia" w:ascii="仿宋" w:hAnsi="仿宋" w:eastAsia="仿宋" w:cs="仿宋"/>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134" w:type="dxa"/>
          </w:tcPr>
          <w:p>
            <w:pPr>
              <w:spacing w:line="440" w:lineRule="exact"/>
              <w:rPr>
                <w:rFonts w:ascii="仿宋" w:hAnsi="仿宋" w:eastAsia="仿宋" w:cs="仿宋"/>
              </w:rPr>
            </w:pPr>
            <w:r>
              <w:rPr>
                <w:rFonts w:hint="eastAsia" w:ascii="仿宋" w:hAnsi="仿宋" w:eastAsia="仿宋" w:cs="仿宋"/>
              </w:rPr>
              <w:t>台车</w:t>
            </w:r>
          </w:p>
        </w:tc>
        <w:tc>
          <w:tcPr>
            <w:tcW w:w="4490" w:type="dxa"/>
          </w:tcPr>
          <w:p>
            <w:pPr>
              <w:spacing w:line="440" w:lineRule="exact"/>
              <w:rPr>
                <w:rFonts w:ascii="宋体" w:hAnsi="宋体"/>
                <w:b/>
                <w:color w:val="000000" w:themeColor="text1"/>
                <w:szCs w:val="21"/>
                <w14:textFill>
                  <w14:solidFill>
                    <w14:schemeClr w14:val="tx1"/>
                  </w14:solidFill>
                </w14:textFill>
              </w:rPr>
            </w:pPr>
            <w:r>
              <w:rPr>
                <w:rFonts w:hint="eastAsia" w:ascii="仿宋" w:hAnsi="仿宋" w:eastAsia="仿宋" w:cs="仿宋"/>
              </w:rPr>
              <w:t>台车</w:t>
            </w:r>
          </w:p>
        </w:tc>
        <w:tc>
          <w:tcPr>
            <w:tcW w:w="969" w:type="dxa"/>
          </w:tcPr>
          <w:p>
            <w:pPr>
              <w:spacing w:line="440" w:lineRule="exact"/>
              <w:rPr>
                <w:rFonts w:ascii="宋体" w:hAnsi="宋体"/>
                <w:b/>
                <w:color w:val="000000" w:themeColor="text1"/>
                <w:szCs w:val="21"/>
                <w14:textFill>
                  <w14:solidFill>
                    <w14:schemeClr w14:val="tx1"/>
                  </w14:solidFill>
                </w14:textFill>
              </w:rPr>
            </w:pPr>
            <w:r>
              <w:rPr>
                <w:rFonts w:hint="eastAsia" w:ascii="仿宋" w:hAnsi="仿宋" w:eastAsia="仿宋" w:cs="仿宋"/>
                <w:color w:val="000000"/>
                <w:sz w:val="24"/>
              </w:rPr>
              <w:t>1</w:t>
            </w:r>
          </w:p>
        </w:tc>
        <w:tc>
          <w:tcPr>
            <w:tcW w:w="920" w:type="dxa"/>
          </w:tcPr>
          <w:p>
            <w:pPr>
              <w:spacing w:line="440" w:lineRule="exact"/>
              <w:rPr>
                <w:rFonts w:ascii="宋体" w:hAnsi="宋体"/>
                <w:b/>
                <w:color w:val="000000" w:themeColor="text1"/>
                <w:szCs w:val="21"/>
                <w14:textFill>
                  <w14:solidFill>
                    <w14:schemeClr w14:val="tx1"/>
                  </w14:solidFill>
                </w14:textFill>
              </w:rPr>
            </w:pPr>
            <w:r>
              <w:rPr>
                <w:rFonts w:hint="eastAsia" w:ascii="仿宋" w:hAnsi="仿宋" w:eastAsia="仿宋" w:cs="仿宋"/>
                <w:color w:val="000000"/>
                <w:sz w:val="24"/>
              </w:rPr>
              <w:t>台</w:t>
            </w:r>
          </w:p>
        </w:tc>
      </w:tr>
    </w:tbl>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 xml:space="preserve">  </w:t>
      </w: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p>
    <w:p>
      <w:pPr>
        <w:numPr>
          <w:ilvl w:val="0"/>
          <w:numId w:val="0"/>
        </w:numPr>
        <w:spacing w:line="440" w:lineRule="exact"/>
        <w:jc w:val="center"/>
        <w:rPr>
          <w:rFonts w:hint="eastAsia" w:ascii="仿宋" w:hAnsi="仿宋" w:eastAsia="仿宋" w:cs="仿宋"/>
          <w:b/>
          <w:bCs/>
          <w:color w:val="000000" w:themeColor="text1"/>
          <w:sz w:val="40"/>
          <w:szCs w:val="40"/>
          <w:lang w:val="en-US" w:eastAsia="zh-CN"/>
          <w14:textFill>
            <w14:solidFill>
              <w14:schemeClr w14:val="tx1"/>
            </w14:solidFill>
          </w14:textFill>
        </w:rPr>
      </w:pPr>
      <w:r>
        <w:rPr>
          <w:rFonts w:hint="eastAsia" w:ascii="仿宋" w:hAnsi="仿宋" w:eastAsia="仿宋" w:cs="仿宋"/>
          <w:b/>
          <w:bCs/>
          <w:color w:val="000000" w:themeColor="text1"/>
          <w:sz w:val="40"/>
          <w:szCs w:val="40"/>
          <w:lang w:val="en-US" w:eastAsia="zh-CN"/>
          <w14:textFill>
            <w14:solidFill>
              <w14:schemeClr w14:val="tx1"/>
            </w14:solidFill>
          </w14:textFill>
        </w:rPr>
        <w:t>包组二</w:t>
      </w:r>
    </w:p>
    <w:p>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高频电刀</w:t>
            </w:r>
          </w:p>
        </w:tc>
        <w:tc>
          <w:tcPr>
            <w:tcW w:w="2268"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妇科、妇科手术室、眼科</w:t>
            </w:r>
          </w:p>
        </w:tc>
        <w:tc>
          <w:tcPr>
            <w:tcW w:w="2508"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4套</w:t>
            </w:r>
          </w:p>
        </w:tc>
      </w:tr>
    </w:tbl>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核心产品：</w:t>
      </w:r>
      <w:r>
        <w:rPr>
          <w:rFonts w:hint="eastAsia" w:ascii="仿宋" w:hAnsi="仿宋" w:eastAsia="仿宋" w:cs="仿宋"/>
          <w:color w:val="000000" w:themeColor="text1"/>
          <w:sz w:val="24"/>
          <w:highlight w:val="none"/>
          <w:lang w:val="en-US" w:eastAsia="zh-CN"/>
          <w14:textFill>
            <w14:solidFill>
              <w14:schemeClr w14:val="tx1"/>
            </w14:solidFill>
          </w14:textFill>
        </w:rPr>
        <w:t>高频电刀</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用途：</w:t>
      </w:r>
      <w:r>
        <w:rPr>
          <w:rFonts w:hint="eastAsia" w:ascii="仿宋" w:hAnsi="仿宋" w:eastAsia="仿宋" w:cs="仿宋"/>
          <w:color w:val="000000" w:themeColor="text1"/>
          <w:sz w:val="24"/>
          <w:highlight w:val="none"/>
          <w:lang w:val="en-US" w:eastAsia="zh-CN"/>
          <w14:textFill>
            <w14:solidFill>
              <w14:schemeClr w14:val="tx1"/>
            </w14:solidFill>
          </w14:textFill>
        </w:rPr>
        <w:t>高频电刀是一种取代机械手术刀进行组织切割的电外科器械。它通过有效电极尖端产生的高频高压电流与肌体接触时对组织进行加热，实现对肌体组织的分离和凝固，从而起到切割和止血的目的。</w:t>
      </w: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pPr>
        <w:numPr>
          <w:ilvl w:val="0"/>
          <w:numId w:val="0"/>
        </w:num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单极输出最大功率≥300W，双极输出最大功率≥225W。</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．具有高能切割和低电压切割模式：高能切割模式专为汽化电切、水下和脂肪组织切割提供，可以用最小的输出功率达到理想的切割效果，低电压切割为腔镜手术及整形、小儿等精细手术提供低创伤的手术效果</w:t>
      </w:r>
      <w:r>
        <w:rPr>
          <w:rFonts w:hint="eastAsia" w:ascii="仿宋" w:hAnsi="仿宋" w:eastAsia="仿宋" w:cs="仿宋"/>
          <w:color w:val="000000" w:themeColor="text1"/>
          <w:sz w:val="24"/>
          <w:lang w:eastAsia="zh-CN"/>
          <w14:textFill>
            <w14:solidFill>
              <w14:schemeClr w14:val="tx1"/>
            </w14:solidFill>
          </w14:textFill>
        </w:rPr>
        <w:t>。</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 输出功率调节：触摸按键式功率调节、快捷，防水设计，方便消毒清洁。</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b/>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双刀笔输出：设备可同时接入2个手控刀笔并可同时输出</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lang w:val="en-US" w:eastAsia="zh-CN"/>
          <w14:textFill>
            <w14:solidFill>
              <w14:schemeClr w14:val="tx1"/>
            </w14:solidFill>
          </w14:textFill>
        </w:rPr>
        <w:t>至少具备</w:t>
      </w:r>
      <w:r>
        <w:rPr>
          <w:rFonts w:hint="eastAsia" w:ascii="仿宋" w:hAnsi="仿宋" w:eastAsia="仿宋" w:cs="仿宋"/>
          <w:color w:val="000000" w:themeColor="text1"/>
          <w:sz w:val="24"/>
          <w14:textFill>
            <w14:solidFill>
              <w14:schemeClr w14:val="tx1"/>
            </w14:solidFill>
          </w14:textFill>
        </w:rPr>
        <w:t>四种双极凝血模式输出</w:t>
      </w:r>
      <w:r>
        <w:rPr>
          <w:rFonts w:hint="eastAsia" w:ascii="仿宋" w:hAnsi="仿宋" w:eastAsia="仿宋" w:cs="仿宋"/>
          <w:color w:val="000000" w:themeColor="text1"/>
          <w:sz w:val="24"/>
          <w:lang w:val="en-US" w:eastAsia="zh-CN"/>
          <w14:textFill>
            <w14:solidFill>
              <w14:schemeClr w14:val="tx1"/>
            </w14:solidFill>
          </w14:textFill>
        </w:rPr>
        <w:t>模式，包括</w:t>
      </w:r>
      <w:r>
        <w:rPr>
          <w:rFonts w:hint="eastAsia" w:ascii="仿宋" w:hAnsi="仿宋" w:eastAsia="仿宋" w:cs="仿宋"/>
          <w:color w:val="000000" w:themeColor="text1"/>
          <w:sz w:val="24"/>
          <w14:textFill>
            <w14:solidFill>
              <w14:schemeClr w14:val="tx1"/>
            </w14:solidFill>
          </w14:textFill>
        </w:rPr>
        <w:t>：宏双极，微双极，标准双极，脉冲双极模式</w:t>
      </w:r>
      <w:r>
        <w:rPr>
          <w:rFonts w:hint="eastAsia" w:ascii="仿宋" w:hAnsi="仿宋" w:eastAsia="仿宋" w:cs="仿宋"/>
          <w:color w:val="000000" w:themeColor="text1"/>
          <w:sz w:val="24"/>
          <w:lang w:eastAsia="zh-CN"/>
          <w14:textFill>
            <w14:solidFill>
              <w14:schemeClr w14:val="tx1"/>
            </w14:solidFill>
          </w14:textFill>
        </w:rPr>
        <w:t>。</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 高频电刀主机设有返回电极接触质量监控</w:t>
      </w:r>
      <w:r>
        <w:rPr>
          <w:rFonts w:hint="eastAsia" w:ascii="仿宋" w:hAnsi="仿宋" w:eastAsia="仿宋" w:cs="仿宋"/>
          <w:color w:val="000000" w:themeColor="text1"/>
          <w:sz w:val="24"/>
          <w:lang w:val="en-US" w:eastAsia="zh-CN"/>
          <w14:textFill>
            <w14:solidFill>
              <w14:schemeClr w14:val="tx1"/>
            </w14:solidFill>
          </w14:textFill>
        </w:rPr>
        <w:t>功能</w:t>
      </w:r>
      <w:r>
        <w:rPr>
          <w:rFonts w:hint="eastAsia" w:ascii="仿宋" w:hAnsi="仿宋" w:eastAsia="仿宋" w:cs="仿宋"/>
          <w:color w:val="000000" w:themeColor="text1"/>
          <w:sz w:val="24"/>
          <w14:textFill>
            <w14:solidFill>
              <w14:schemeClr w14:val="tx1"/>
            </w14:solidFill>
          </w14:textFill>
        </w:rPr>
        <w:t>，可检测到返回电极的类型。</w:t>
      </w:r>
      <w:r>
        <w:rPr>
          <w:rFonts w:hint="eastAsia" w:ascii="仿宋" w:hAnsi="仿宋" w:eastAsia="仿宋" w:cs="仿宋"/>
          <w:color w:val="000000" w:themeColor="text1"/>
          <w:sz w:val="24"/>
          <w:lang w:val="en-US" w:eastAsia="zh-CN"/>
          <w14:textFill>
            <w14:solidFill>
              <w14:schemeClr w14:val="tx1"/>
            </w14:solidFill>
          </w14:textFill>
        </w:rPr>
        <w:t>且具备</w:t>
      </w:r>
      <w:r>
        <w:rPr>
          <w:rFonts w:hint="eastAsia" w:ascii="仿宋" w:hAnsi="仿宋" w:eastAsia="仿宋" w:cs="仿宋"/>
          <w:color w:val="000000" w:themeColor="text1"/>
          <w:sz w:val="24"/>
          <w14:textFill>
            <w14:solidFill>
              <w14:schemeClr w14:val="tx1"/>
            </w14:solidFill>
          </w14:textFill>
        </w:rPr>
        <w:t>实时监控患者与双极返回电极的接触质量</w:t>
      </w:r>
      <w:r>
        <w:rPr>
          <w:rFonts w:hint="eastAsia" w:ascii="仿宋" w:hAnsi="仿宋" w:eastAsia="仿宋" w:cs="仿宋"/>
          <w:color w:val="000000" w:themeColor="text1"/>
          <w:sz w:val="24"/>
          <w:lang w:val="en-US" w:eastAsia="zh-CN"/>
          <w14:textFill>
            <w14:solidFill>
              <w14:schemeClr w14:val="tx1"/>
            </w14:solidFill>
          </w14:textFill>
        </w:rPr>
        <w:t>功能</w:t>
      </w:r>
      <w:r>
        <w:rPr>
          <w:rFonts w:hint="eastAsia" w:ascii="仿宋" w:hAnsi="仿宋" w:eastAsia="仿宋" w:cs="仿宋"/>
          <w:color w:val="000000" w:themeColor="text1"/>
          <w:sz w:val="24"/>
          <w14:textFill>
            <w14:solidFill>
              <w14:schemeClr w14:val="tx1"/>
            </w14:solidFill>
          </w14:textFill>
        </w:rPr>
        <w:t>，一旦接触面减少至不安全水平时，机器即自动报警并停止输出，以杜绝返回电极对患者造成灼伤的可能。</w:t>
      </w:r>
    </w:p>
    <w:p>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 快速数字化反馈</w:t>
      </w:r>
      <w:r>
        <w:rPr>
          <w:rFonts w:hint="eastAsia" w:ascii="仿宋" w:hAnsi="仿宋" w:eastAsia="仿宋" w:cs="仿宋"/>
          <w:color w:val="000000" w:themeColor="text1"/>
          <w:sz w:val="24"/>
          <w:lang w:val="en-US" w:eastAsia="zh-CN"/>
          <w14:textFill>
            <w14:solidFill>
              <w14:schemeClr w14:val="tx1"/>
            </w14:solidFill>
          </w14:textFill>
        </w:rPr>
        <w:t>功能</w:t>
      </w:r>
      <w:r>
        <w:rPr>
          <w:rFonts w:hint="eastAsia" w:ascii="仿宋" w:hAnsi="仿宋" w:eastAsia="仿宋" w:cs="仿宋"/>
          <w:color w:val="000000" w:themeColor="text1"/>
          <w:sz w:val="24"/>
          <w14:textFill>
            <w14:solidFill>
              <w14:schemeClr w14:val="tx1"/>
            </w14:solidFill>
          </w14:textFill>
        </w:rPr>
        <w:t>：可以通过数字化技术并侦测组织电阻变化，切割时可跟据组织的阻抗不同，自动调整输出</w:t>
      </w:r>
      <w:r>
        <w:rPr>
          <w:rFonts w:hint="eastAsia" w:ascii="仿宋" w:hAnsi="仿宋" w:eastAsia="仿宋" w:cs="仿宋"/>
          <w:color w:val="000000" w:themeColor="text1"/>
          <w:sz w:val="24"/>
          <w:lang w:eastAsia="zh-CN"/>
          <w14:textFill>
            <w14:solidFill>
              <w14:schemeClr w14:val="tx1"/>
            </w14:solidFill>
          </w14:textFill>
        </w:rPr>
        <w:t>。</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 绝缘式输出：单极切割或凝血时，通过负极板形成完整回路，不会通过手术室器械产生替代性回路。内部线路与市电分隔，设有隔离线圈、耦合器、光电传感器三道保护线路。</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 xml:space="preserve">. 具有4种或以上混切模式：可根据需要,任意调节止血程度，可通过前部面板简单快速选择4个设置值。 </w:t>
      </w:r>
    </w:p>
    <w:p>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  操作模式：独立操作，单极输出和双极输出，均采用独立的输出线路</w:t>
      </w:r>
      <w:r>
        <w:rPr>
          <w:rFonts w:hint="eastAsia" w:ascii="仿宋" w:hAnsi="仿宋" w:eastAsia="仿宋" w:cs="仿宋"/>
          <w:color w:val="000000" w:themeColor="text1"/>
          <w:sz w:val="24"/>
          <w:lang w:eastAsia="zh-CN"/>
          <w14:textFill>
            <w14:solidFill>
              <w14:schemeClr w14:val="tx1"/>
            </w14:solidFill>
          </w14:textFill>
        </w:rPr>
        <w:t>。</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 电凝功能：接触式电凝和喷射式电凝,双极电凝</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  开机自检功能：开机时如有问题声光报警</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 可预设定并储存</w:t>
      </w:r>
      <w:r>
        <w:rPr>
          <w:rFonts w:hint="eastAsia" w:ascii="仿宋" w:hAnsi="仿宋" w:eastAsia="仿宋" w:cs="仿宋"/>
          <w:color w:val="000000" w:themeColor="text1"/>
          <w:sz w:val="24"/>
          <w:lang w:val="en-US" w:eastAsia="zh-CN"/>
          <w14:textFill>
            <w14:solidFill>
              <w14:schemeClr w14:val="tx1"/>
            </w14:solidFill>
          </w14:textFill>
        </w:rPr>
        <w:t>多种</w:t>
      </w:r>
      <w:r>
        <w:rPr>
          <w:rFonts w:hint="eastAsia" w:ascii="仿宋" w:hAnsi="仿宋" w:eastAsia="仿宋" w:cs="仿宋"/>
          <w:color w:val="000000" w:themeColor="text1"/>
          <w:sz w:val="24"/>
          <w14:textFill>
            <w14:solidFill>
              <w14:schemeClr w14:val="tx1"/>
            </w14:solidFill>
          </w14:textFill>
        </w:rPr>
        <w:t>种操作模式：满足各外科医生的使用模式的储存并记忆，可以在工作中方便的切换。</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   具有记忆功能：机器可自动启动到最近使用的模式与功率设置。</w:t>
      </w:r>
    </w:p>
    <w:p>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   可以配合各种品牌腹腔镜、胸腔镜、汽化镜，胃肠镜等各种内镜系统</w:t>
      </w:r>
      <w:r>
        <w:rPr>
          <w:rFonts w:hint="eastAsia" w:ascii="仿宋" w:hAnsi="仿宋" w:eastAsia="仿宋" w:cs="仿宋"/>
          <w:color w:val="000000" w:themeColor="text1"/>
          <w:sz w:val="24"/>
          <w:lang w:val="en-US" w:eastAsia="zh-CN"/>
          <w14:textFill>
            <w14:solidFill>
              <w14:schemeClr w14:val="tx1"/>
            </w14:solidFill>
          </w14:textFill>
        </w:rPr>
        <w:t>使用。</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  工作频率≥490KHz</w:t>
      </w:r>
    </w:p>
    <w:p>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 具有双极虚拟电流表功能：显示出双极应用过程中RF电流的变化情况，使用自动双极选项时，可以设定双极模式参数并选择虚拟电流表的显示特征</w:t>
      </w:r>
      <w:r>
        <w:rPr>
          <w:rFonts w:hint="eastAsia" w:ascii="仿宋" w:hAnsi="仿宋" w:eastAsia="仿宋" w:cs="仿宋"/>
          <w:color w:val="000000" w:themeColor="text1"/>
          <w:sz w:val="24"/>
          <w:lang w:eastAsia="zh-CN"/>
          <w14:textFill>
            <w14:solidFill>
              <w14:schemeClr w14:val="tx1"/>
            </w14:solidFill>
          </w14:textFill>
        </w:rPr>
        <w:t>。</w:t>
      </w: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  ★</w:t>
      </w:r>
      <w:r>
        <w:rPr>
          <w:rFonts w:hint="eastAsia" w:ascii="仿宋" w:hAnsi="仿宋" w:eastAsia="仿宋" w:cs="仿宋"/>
          <w:color w:val="000000" w:themeColor="text1"/>
          <w:sz w:val="24"/>
          <w:lang w:val="en-US" w:eastAsia="zh-CN"/>
          <w14:textFill>
            <w14:solidFill>
              <w14:schemeClr w14:val="tx1"/>
            </w14:solidFill>
          </w14:textFill>
        </w:rPr>
        <w:t>负极板采用一次性使用型负极板，设备可匹配市面任意一款负极板使用。</w:t>
      </w:r>
    </w:p>
    <w:p>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1"/>
        <w:tblW w:w="7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333"/>
        <w:gridCol w:w="199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2333"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1994"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893"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高频电刀</w:t>
            </w:r>
          </w:p>
        </w:tc>
        <w:tc>
          <w:tcPr>
            <w:tcW w:w="1994"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一次性负极板</w:t>
            </w:r>
          </w:p>
        </w:tc>
        <w:tc>
          <w:tcPr>
            <w:tcW w:w="1994"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负极板导线</w:t>
            </w:r>
          </w:p>
        </w:tc>
        <w:tc>
          <w:tcPr>
            <w:tcW w:w="1994"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3</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单脚踏开关</w:t>
            </w:r>
          </w:p>
        </w:tc>
        <w:tc>
          <w:tcPr>
            <w:tcW w:w="1994"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双脚踏开关</w:t>
            </w:r>
          </w:p>
        </w:tc>
        <w:tc>
          <w:tcPr>
            <w:tcW w:w="1994"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个</w:t>
            </w:r>
          </w:p>
        </w:tc>
      </w:tr>
    </w:tbl>
    <w:p>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p>
    <w:p>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40"/>
          <w:szCs w:val="40"/>
          <w:lang w:val="en-US" w:eastAsia="zh-CN"/>
          <w14:textFill>
            <w14:solidFill>
              <w14:schemeClr w14:val="tx1"/>
            </w14:solidFill>
          </w14:textFill>
        </w:rPr>
        <w:t>包组三</w:t>
      </w:r>
    </w:p>
    <w:p>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高频电刀</w:t>
            </w:r>
          </w:p>
        </w:tc>
        <w:tc>
          <w:tcPr>
            <w:tcW w:w="2268"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综合手术室</w:t>
            </w:r>
          </w:p>
        </w:tc>
        <w:tc>
          <w:tcPr>
            <w:tcW w:w="2508"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2套</w:t>
            </w:r>
          </w:p>
        </w:tc>
      </w:tr>
    </w:tbl>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核心产品：</w:t>
      </w:r>
      <w:r>
        <w:rPr>
          <w:rFonts w:hint="eastAsia" w:ascii="仿宋" w:hAnsi="仿宋" w:eastAsia="仿宋" w:cs="仿宋"/>
          <w:color w:val="000000" w:themeColor="text1"/>
          <w:sz w:val="24"/>
          <w:highlight w:val="none"/>
          <w:lang w:val="en-US" w:eastAsia="zh-CN"/>
          <w14:textFill>
            <w14:solidFill>
              <w14:schemeClr w14:val="tx1"/>
            </w14:solidFill>
          </w14:textFill>
        </w:rPr>
        <w:t>高频电刀</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用途：</w:t>
      </w:r>
      <w:r>
        <w:rPr>
          <w:rFonts w:hint="eastAsia" w:ascii="仿宋" w:hAnsi="仿宋" w:eastAsia="仿宋" w:cs="仿宋"/>
          <w:color w:val="000000" w:themeColor="text1"/>
          <w:sz w:val="24"/>
          <w:highlight w:val="none"/>
          <w:lang w:val="en-US" w:eastAsia="zh-CN"/>
          <w14:textFill>
            <w14:solidFill>
              <w14:schemeClr w14:val="tx1"/>
            </w14:solidFill>
          </w14:textFill>
        </w:rPr>
        <w:t>高频电刀是一种取代机械手术刀进行组织切割的电外科器械。它通过有效电极尖端产生的高频高压电流与肌体接触时对组织进行加热，实现对肌体组织的分离和凝固，从而起到切割和止血的目的。</w:t>
      </w:r>
    </w:p>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宋体" w:hAnsi="宋体" w:eastAsia="宋体" w:cs="宋体"/>
          <w:b w:val="0"/>
          <w:bCs w:val="0"/>
          <w:sz w:val="21"/>
          <w:szCs w:val="21"/>
          <w:lang w:val="en-US" w:eastAsia="zh-CN"/>
        </w:rPr>
        <w:t>▲</w:t>
      </w:r>
      <w:r>
        <w:rPr>
          <w:rFonts w:hint="eastAsia" w:ascii="仿宋" w:hAnsi="仿宋" w:eastAsia="仿宋" w:cs="仿宋"/>
          <w:color w:val="000000" w:themeColor="text1"/>
          <w:sz w:val="24"/>
          <w:lang w:val="en-US" w:eastAsia="zh-CN"/>
          <w14:textFill>
            <w14:solidFill>
              <w14:schemeClr w14:val="tx1"/>
            </w14:solidFill>
          </w14:textFill>
        </w:rPr>
        <w:t>大屏幕液晶显示、触摸式的中文操作界面，具有集中显示，人机交互对话方式，功率和效果参数可以直接通过上下键设置。</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能够满足各个外科的手术需要，和所有内窥镜品牌通用，可与膀胱镜、腹腔镜、宫腔镜等内窥镜连接。</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▲设备具有多种智能调节技术：电压调节、电弧调节、输出调节。</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▲整机为全数字化、模块化设计，可独立的更换插座模块，主机具备≧2个单极插座，有双路电凝功能，可以同时启动两支单极手术器械，互不干扰。</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能进行软件升级，能够进行内镜电切和氩气保护的自动电切等功能升级。</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▲具有硬件升级功能，可以升级氩气刀模块、水束分离模块、烟雾清除系统、扩展模块等。</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整机采用微电脑和传感器技术，具有自动切割控制功能，可根据组织需要及时输出功率。切割效果不受电极大小、切割速度及组织类型的影响。</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具有功率峰值补偿功能，对初始切割和切割过程提供智能补偿支持。</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▲有适用于临床各科室使用的多种智能模式，单极模式包括自动电切、无血电切、高能电切、柔和电凝、强力电凝、快速电凝、喷射电凝等。其中电切效果≧8档，电凝效果≧2档。</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▲双极模式包括双极电切、双极柔和电凝、双极柔和电凝带自动停止功能等。电切和电凝效果均≧8档。</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自动电切、高能电切、无血电切等所有单极电切模式峰值电压均低于1500Vp。柔和电凝、强力电凝、喷射电凝、快速电凝等所有单极电凝模式峰值电压均低于4500Vp。</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▲设备能够连接使用双极电切电凝剪器械，满足腔镜下边凝边切使用,术中无需更换器械，节省手术时间。</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双极电凝模式：采用低电压设计，峰值电压低于200Vp，防止器械与组织粘连，并减少炭化，可进行精细的≧8档电凝效果调节，有自动启动和自动停止功能。</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具有中性电极安全系统，可设置单片式、双片式、单双片兼容、动态监测模式。具有新生儿监控模式，当电流超过300mA时自动报警。</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▲具有程序存储功能，可以存储≧9组程序。可设置存储的程序参数包括：电切和电凝效果、电切和电凝功率极限、脚踏开关分配、自动启动功能、自动停止功能等。</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功率输出：电切最大输出功率：300W，电凝最大功率：200W。</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最大输出时功率： 500W/920VA。</w:t>
      </w:r>
    </w:p>
    <w:p>
      <w:pPr>
        <w:numPr>
          <w:ilvl w:val="0"/>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工作频率：300KHz-370KHz。</w:t>
      </w:r>
    </w:p>
    <w:p>
      <w:pPr>
        <w:numPr>
          <w:ilvl w:val="0"/>
          <w:numId w:val="3"/>
        </w:numPr>
        <w:spacing w:line="440" w:lineRule="exact"/>
        <w:rPr>
          <w:rFonts w:hint="eastAsia" w:ascii="宋体" w:hAnsi="宋体" w:cs="宋体"/>
          <w:bCs/>
          <w:color w:val="000000"/>
          <w:kern w:val="0"/>
          <w:sz w:val="22"/>
          <w:lang w:val="en-US" w:eastAsia="zh-CN"/>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负极板采用一次性使用型负极板，设备可匹配市面任意一款负极板使用。</w:t>
      </w:r>
    </w:p>
    <w:p>
      <w:pPr>
        <w:numPr>
          <w:ilvl w:val="0"/>
          <w:numId w:val="0"/>
        </w:num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 xml:space="preserve">    </w:t>
      </w:r>
    </w:p>
    <w:p>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设备配置要求：</w:t>
      </w: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 xml:space="preserve"> </w:t>
      </w:r>
    </w:p>
    <w:tbl>
      <w:tblPr>
        <w:tblStyle w:val="11"/>
        <w:tblW w:w="7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333"/>
        <w:gridCol w:w="199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2333"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1994"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893"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高频电刀</w:t>
            </w:r>
          </w:p>
        </w:tc>
        <w:tc>
          <w:tcPr>
            <w:tcW w:w="1994"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一次性负极板</w:t>
            </w:r>
          </w:p>
        </w:tc>
        <w:tc>
          <w:tcPr>
            <w:tcW w:w="1994"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20</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负极板导线</w:t>
            </w:r>
          </w:p>
        </w:tc>
        <w:tc>
          <w:tcPr>
            <w:tcW w:w="1994"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6</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单脚踏开关</w:t>
            </w:r>
          </w:p>
        </w:tc>
        <w:tc>
          <w:tcPr>
            <w:tcW w:w="1994"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459"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2333" w:type="dxa"/>
          </w:tcPr>
          <w:p>
            <w:pPr>
              <w:spacing w:line="440" w:lineRule="exact"/>
              <w:rPr>
                <w:rFonts w:hint="default"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双脚踏开关</w:t>
            </w:r>
          </w:p>
        </w:tc>
        <w:tc>
          <w:tcPr>
            <w:tcW w:w="1994"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4</w:t>
            </w:r>
          </w:p>
        </w:tc>
        <w:tc>
          <w:tcPr>
            <w:tcW w:w="1893" w:type="dxa"/>
          </w:tcPr>
          <w:p>
            <w:pPr>
              <w:spacing w:line="44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个</w:t>
            </w:r>
          </w:p>
        </w:tc>
      </w:tr>
    </w:tbl>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 xml:space="preserve">  </w:t>
      </w:r>
    </w:p>
    <w:p>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p>
    <w:p>
      <w:pPr>
        <w:spacing w:line="440" w:lineRule="exact"/>
        <w:rPr>
          <w:rFonts w:hint="default" w:ascii="仿宋" w:hAnsi="仿宋" w:eastAsia="仿宋" w:cs="仿宋"/>
          <w:b/>
          <w:color w:val="000000" w:themeColor="text1"/>
          <w:sz w:val="24"/>
          <w:lang w:val="en-US" w:eastAsia="zh-CN"/>
          <w14:textFill>
            <w14:solidFill>
              <w14:schemeClr w14:val="tx1"/>
            </w14:solidFill>
          </w14:textFill>
        </w:rPr>
      </w:pPr>
    </w:p>
    <w:p>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1.5验收方式：按《小榄镇镇属医院医疗项目采购和验收管理规定》。</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★1.6投标供应商须要在投标文件做出具承诺函，该承诺函包括但不限于以下内容:</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hint="eastAsia" w:ascii="仿宋" w:hAnsi="仿宋" w:eastAsia="仿宋" w:cs="仿宋"/>
          <w:color w:val="000000" w:themeColor="text1"/>
          <w:sz w:val="24"/>
          <w:highlight w:val="yellow"/>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1.7</w:t>
      </w:r>
      <w:r>
        <w:rPr>
          <w:rFonts w:hint="eastAsia" w:ascii="仿宋" w:hAnsi="仿宋" w:eastAsia="仿宋" w:cs="仿宋"/>
          <w:color w:val="000000" w:themeColor="text1"/>
          <w:sz w:val="24"/>
          <w:highlight w:val="yellow"/>
          <w:lang w:val="en-US" w:eastAsia="zh-CN"/>
          <w14:textFill>
            <w14:solidFill>
              <w14:schemeClr w14:val="tx1"/>
            </w14:solidFill>
          </w14:textFill>
        </w:rPr>
        <w:t>乙方所投设备属于计量仪器的，需通过具有国家部门颁发专业检测资质证书的第三方计量检测单位检测并提供合格报告。</w:t>
      </w:r>
    </w:p>
    <w:p>
      <w:pPr>
        <w:spacing w:line="440" w:lineRule="exact"/>
        <w:rPr>
          <w:rFonts w:hint="default" w:ascii="仿宋" w:hAnsi="仿宋" w:eastAsia="仿宋" w:cs="仿宋"/>
          <w:color w:val="000000" w:themeColor="text1"/>
          <w:sz w:val="24"/>
          <w:highlight w:val="yellow"/>
          <w:lang w:val="en-US" w:eastAsia="zh-CN"/>
          <w14:textFill>
            <w14:solidFill>
              <w14:schemeClr w14:val="tx1"/>
            </w14:solidFill>
          </w14:textFill>
        </w:rPr>
      </w:pPr>
      <w:r>
        <w:rPr>
          <w:rFonts w:hint="eastAsia" w:ascii="仿宋" w:hAnsi="仿宋" w:eastAsia="仿宋" w:cs="仿宋"/>
          <w:color w:val="000000" w:themeColor="text1"/>
          <w:sz w:val="24"/>
          <w:highlight w:val="yellow"/>
          <w:lang w:val="en-US" w:eastAsia="zh-CN"/>
          <w14:textFill>
            <w14:solidFill>
              <w14:schemeClr w14:val="tx1"/>
            </w14:solidFill>
          </w14:textFill>
        </w:rPr>
        <w:t>1.8标的生产日期与交付日期之间间隔须在1年及以内。</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2</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14:textFill>
            <w14:solidFill>
              <w14:schemeClr w14:val="tx1"/>
            </w14:solidFill>
          </w14:textFill>
        </w:rPr>
        <w:t>80</w:t>
      </w:r>
      <w:r>
        <w:rPr>
          <w:rFonts w:hint="eastAsia" w:ascii="仿宋" w:hAnsi="仿宋" w:eastAsia="仿宋" w:cs="仿宋"/>
          <w:color w:val="000000" w:themeColor="text1"/>
          <w:sz w:val="24"/>
          <w14:textFill>
            <w14:solidFill>
              <w14:schemeClr w14:val="tx1"/>
            </w14:solidFill>
          </w14:textFill>
        </w:rPr>
        <w:t>%。</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hint="eastAsia"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rPr>
          <w:rFonts w:ascii="仿宋" w:hAnsi="仿宋" w:eastAsia="仿宋" w:cs="仿宋"/>
          <w:color w:val="000000" w:themeColor="text1"/>
          <w:sz w:val="24"/>
          <w:highlight w:val="cyan"/>
          <w:lang w:val="zh-CN"/>
          <w14:textFill>
            <w14:solidFill>
              <w14:schemeClr w14:val="tx1"/>
            </w14:solidFill>
          </w14:textFill>
        </w:rPr>
      </w:pPr>
      <w:bookmarkStart w:id="0" w:name="_GoBack"/>
      <w:bookmarkEnd w:id="0"/>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w:rPr>
            <w:rFonts w:hint="eastAsia"/>
            <w:lang w:val="en-US" w:eastAsia="zh-CN"/>
          </w:rPr>
          <w:t>需求科室</w:t>
        </w:r>
        <w:r>
          <w:rPr>
            <w:rFonts w:hint="eastAsia"/>
          </w:rPr>
          <w:t xml:space="preserve">：                               </w:t>
        </w:r>
        <w:r>
          <w:rPr>
            <w:rFonts w:hint="eastAsia"/>
            <w:lang w:val="en-US" w:eastAsia="zh-CN"/>
          </w:rPr>
          <w:t>医学装备科</w:t>
        </w:r>
        <w:r>
          <w:rPr>
            <w:rFonts w:hint="eastAsia"/>
          </w:rPr>
          <w:t>：</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v:textbox>
                </v:shape>
              </w:pict>
            </mc:Fallback>
          </mc:AlternateConten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98ED"/>
    <w:multiLevelType w:val="singleLevel"/>
    <w:tmpl w:val="D18F98ED"/>
    <w:lvl w:ilvl="0" w:tentative="0">
      <w:start w:val="1"/>
      <w:numFmt w:val="decimal"/>
      <w:suff w:val="nothing"/>
      <w:lvlText w:val="%1、"/>
      <w:lvlJc w:val="left"/>
    </w:lvl>
  </w:abstractNum>
  <w:abstractNum w:abstractNumId="1">
    <w:nsid w:val="E01E7F51"/>
    <w:multiLevelType w:val="singleLevel"/>
    <w:tmpl w:val="E01E7F51"/>
    <w:lvl w:ilvl="0" w:tentative="0">
      <w:start w:val="1"/>
      <w:numFmt w:val="decimal"/>
      <w:suff w:val="nothing"/>
      <w:lvlText w:val="%1、"/>
      <w:lvlJc w:val="left"/>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65257"/>
    <w:rsid w:val="000C5864"/>
    <w:rsid w:val="00136269"/>
    <w:rsid w:val="00152E6E"/>
    <w:rsid w:val="001564F2"/>
    <w:rsid w:val="00164D4A"/>
    <w:rsid w:val="001D1D4A"/>
    <w:rsid w:val="001F6B01"/>
    <w:rsid w:val="00215636"/>
    <w:rsid w:val="0022457A"/>
    <w:rsid w:val="00227ED6"/>
    <w:rsid w:val="00234D13"/>
    <w:rsid w:val="002616DE"/>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943B1"/>
    <w:rsid w:val="007A320E"/>
    <w:rsid w:val="007A3E4E"/>
    <w:rsid w:val="007B6779"/>
    <w:rsid w:val="007D756B"/>
    <w:rsid w:val="007E3690"/>
    <w:rsid w:val="007E613A"/>
    <w:rsid w:val="007F2B11"/>
    <w:rsid w:val="007F33E6"/>
    <w:rsid w:val="008639CD"/>
    <w:rsid w:val="00876B88"/>
    <w:rsid w:val="008A5819"/>
    <w:rsid w:val="008A6F6D"/>
    <w:rsid w:val="008F4E7C"/>
    <w:rsid w:val="008F6ACD"/>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32D0"/>
    <w:rsid w:val="00DC1A43"/>
    <w:rsid w:val="00E35651"/>
    <w:rsid w:val="00E60436"/>
    <w:rsid w:val="00E71C5B"/>
    <w:rsid w:val="00EA68FA"/>
    <w:rsid w:val="00EC3435"/>
    <w:rsid w:val="00F066CA"/>
    <w:rsid w:val="00F42A70"/>
    <w:rsid w:val="00F75603"/>
    <w:rsid w:val="00F801B8"/>
    <w:rsid w:val="00F82B4B"/>
    <w:rsid w:val="00FA3C7F"/>
    <w:rsid w:val="00FF4826"/>
    <w:rsid w:val="027725AF"/>
    <w:rsid w:val="0C547201"/>
    <w:rsid w:val="126775F5"/>
    <w:rsid w:val="140524A5"/>
    <w:rsid w:val="17A84A31"/>
    <w:rsid w:val="18AC198D"/>
    <w:rsid w:val="1A362D0A"/>
    <w:rsid w:val="1A9A1AE2"/>
    <w:rsid w:val="1DB403E5"/>
    <w:rsid w:val="1F0C2891"/>
    <w:rsid w:val="1FF004A0"/>
    <w:rsid w:val="21F75571"/>
    <w:rsid w:val="24EC46DC"/>
    <w:rsid w:val="26AC3567"/>
    <w:rsid w:val="27094723"/>
    <w:rsid w:val="2A710EAE"/>
    <w:rsid w:val="2B9A59A4"/>
    <w:rsid w:val="2D887C39"/>
    <w:rsid w:val="2D993838"/>
    <w:rsid w:val="2E110DC4"/>
    <w:rsid w:val="33712CFE"/>
    <w:rsid w:val="33895773"/>
    <w:rsid w:val="3C740147"/>
    <w:rsid w:val="3E9B4363"/>
    <w:rsid w:val="3EEE625E"/>
    <w:rsid w:val="443A5766"/>
    <w:rsid w:val="44746547"/>
    <w:rsid w:val="4BF76F64"/>
    <w:rsid w:val="4EBD0A92"/>
    <w:rsid w:val="549915C3"/>
    <w:rsid w:val="553862A6"/>
    <w:rsid w:val="579F1125"/>
    <w:rsid w:val="5A3921D0"/>
    <w:rsid w:val="5DC71851"/>
    <w:rsid w:val="656A70AF"/>
    <w:rsid w:val="66AA15BF"/>
    <w:rsid w:val="69340CF8"/>
    <w:rsid w:val="69AD77A9"/>
    <w:rsid w:val="6C171CF3"/>
    <w:rsid w:val="6DDF526D"/>
    <w:rsid w:val="744B3E55"/>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54837-7A1D-4254-AE23-E85EC04C14F5}">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5551</Words>
  <Characters>5742</Characters>
  <Lines>2</Lines>
  <Paragraphs>6</Paragraphs>
  <TotalTime>2</TotalTime>
  <ScaleCrop>false</ScaleCrop>
  <LinksUpToDate>false</LinksUpToDate>
  <CharactersWithSpaces>5839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ye</cp:lastModifiedBy>
  <cp:lastPrinted>2021-08-11T08:36:00Z</cp:lastPrinted>
  <dcterms:modified xsi:type="dcterms:W3CDTF">2023-04-03T01:39:02Z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E956D4719F434CE88123D0B73C2937F2</vt:lpwstr>
  </property>
</Properties>
</file>