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2A" w:rsidRDefault="0059016D">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46592A" w:rsidRDefault="0059016D">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3.本项目不接受联合体、中标供应商不得以任何方式转包本项目。</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4.单位负责人为同一人或者存在直接控股、关联关系的不同投标人，不得参加同一合同项下的招标活动。</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6.本文的“质保期”是指中标标的物经约定的验收机构完成验收之日起算，截止中标人承诺的期限。</w:t>
      </w:r>
    </w:p>
    <w:p w:rsidR="0046592A" w:rsidRDefault="0059016D">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a"/>
        <w:tblW w:w="8050" w:type="dxa"/>
        <w:jc w:val="center"/>
        <w:tblLook w:val="04A0"/>
      </w:tblPr>
      <w:tblGrid>
        <w:gridCol w:w="3274"/>
        <w:gridCol w:w="2268"/>
        <w:gridCol w:w="2508"/>
      </w:tblGrid>
      <w:tr w:rsidR="0046592A">
        <w:trPr>
          <w:trHeight w:val="497"/>
          <w:jc w:val="center"/>
        </w:trPr>
        <w:tc>
          <w:tcPr>
            <w:tcW w:w="3274"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2268"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508"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46592A">
        <w:trPr>
          <w:trHeight w:val="644"/>
          <w:jc w:val="center"/>
        </w:trPr>
        <w:tc>
          <w:tcPr>
            <w:tcW w:w="3274" w:type="dxa"/>
          </w:tcPr>
          <w:p w:rsidR="0046592A" w:rsidRDefault="0059016D">
            <w:pPr>
              <w:spacing w:line="360" w:lineRule="auto"/>
              <w:ind w:left="479" w:hangingChars="199" w:hanging="479"/>
              <w:rPr>
                <w:rFonts w:ascii="仿宋" w:eastAsia="仿宋" w:hAnsi="仿宋" w:cs="仿宋"/>
                <w:color w:val="000000" w:themeColor="text1"/>
                <w:sz w:val="24"/>
              </w:rPr>
            </w:pPr>
            <w:r>
              <w:rPr>
                <w:rFonts w:asciiTheme="minorEastAsia" w:hAnsiTheme="minorEastAsia" w:cstheme="minorEastAsia" w:hint="eastAsia"/>
                <w:b/>
                <w:sz w:val="24"/>
              </w:rPr>
              <w:t>营养泵</w:t>
            </w:r>
          </w:p>
        </w:tc>
        <w:tc>
          <w:tcPr>
            <w:tcW w:w="2268" w:type="dxa"/>
          </w:tcPr>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临床营养科</w:t>
            </w:r>
          </w:p>
        </w:tc>
        <w:tc>
          <w:tcPr>
            <w:tcW w:w="2508" w:type="dxa"/>
          </w:tcPr>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w:t>
            </w:r>
          </w:p>
        </w:tc>
      </w:tr>
    </w:tbl>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核心产品：</w:t>
      </w:r>
    </w:p>
    <w:p w:rsidR="0046592A" w:rsidRDefault="0046592A">
      <w:pPr>
        <w:spacing w:line="440" w:lineRule="exact"/>
        <w:rPr>
          <w:rFonts w:ascii="仿宋" w:eastAsia="仿宋" w:hAnsi="仿宋" w:cs="仿宋"/>
          <w:color w:val="000000" w:themeColor="text1"/>
          <w:sz w:val="24"/>
        </w:rPr>
      </w:pPr>
    </w:p>
    <w:p w:rsidR="0046592A" w:rsidRDefault="0059016D">
      <w:pPr>
        <w:spacing w:line="360" w:lineRule="auto"/>
        <w:rPr>
          <w:rFonts w:asciiTheme="minorEastAsia" w:hAnsiTheme="minorEastAsia" w:cstheme="minorEastAsia"/>
          <w:bCs/>
          <w:sz w:val="24"/>
        </w:rPr>
      </w:pPr>
      <w:r>
        <w:rPr>
          <w:rFonts w:ascii="仿宋" w:eastAsia="仿宋" w:hAnsi="仿宋" w:cs="仿宋" w:hint="eastAsia"/>
          <w:color w:val="000000" w:themeColor="text1"/>
          <w:sz w:val="24"/>
        </w:rPr>
        <w:t>用途：</w:t>
      </w:r>
      <w:r>
        <w:rPr>
          <w:rFonts w:asciiTheme="minorEastAsia" w:hAnsiTheme="minorEastAsia" w:cstheme="minorEastAsia" w:hint="eastAsia"/>
          <w:bCs/>
          <w:sz w:val="24"/>
        </w:rPr>
        <w:t>鼻饲、管饲以及胃肠造瘘患者的营养泵入。</w:t>
      </w:r>
    </w:p>
    <w:p w:rsidR="0046592A" w:rsidRDefault="0046592A">
      <w:pPr>
        <w:spacing w:line="440" w:lineRule="exact"/>
        <w:rPr>
          <w:rFonts w:ascii="仿宋" w:eastAsia="仿宋" w:hAnsi="仿宋" w:cs="仿宋"/>
          <w:color w:val="000000" w:themeColor="text1"/>
          <w:sz w:val="24"/>
        </w:rPr>
      </w:pPr>
    </w:p>
    <w:p w:rsidR="0046592A" w:rsidRDefault="0046592A">
      <w:pPr>
        <w:spacing w:line="440" w:lineRule="exact"/>
        <w:rPr>
          <w:rFonts w:ascii="仿宋" w:eastAsia="仿宋" w:hAnsi="仿宋" w:cs="仿宋"/>
          <w:b/>
          <w:color w:val="000000" w:themeColor="text1"/>
          <w:sz w:val="24"/>
        </w:rPr>
      </w:pPr>
    </w:p>
    <w:p w:rsidR="0046592A" w:rsidRDefault="0059016D">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tbl>
      <w:tblPr>
        <w:tblStyle w:val="aa"/>
        <w:tblW w:w="0" w:type="auto"/>
        <w:jc w:val="center"/>
        <w:tblLook w:val="04A0"/>
      </w:tblPr>
      <w:tblGrid>
        <w:gridCol w:w="696"/>
        <w:gridCol w:w="7599"/>
      </w:tblGrid>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7599"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参数要求</w:t>
            </w:r>
          </w:p>
        </w:tc>
      </w:tr>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599" w:type="dxa"/>
          </w:tcPr>
          <w:p w:rsidR="0046592A" w:rsidRDefault="0059016D">
            <w:pPr>
              <w:widowControl/>
              <w:shd w:val="clear" w:color="auto" w:fill="FFFFFF"/>
              <w:spacing w:line="345" w:lineRule="atLeast"/>
              <w:jc w:val="left"/>
              <w:rPr>
                <w:rFonts w:asciiTheme="minorEastAsia" w:hAnsiTheme="minorEastAsia" w:cstheme="minorEastAsia"/>
                <w:b/>
                <w:bCs/>
                <w:color w:val="000000"/>
                <w:kern w:val="0"/>
                <w:sz w:val="24"/>
              </w:rPr>
            </w:pPr>
            <w:bookmarkStart w:id="0" w:name="_GoBack"/>
            <w:bookmarkEnd w:id="0"/>
            <w:r>
              <w:rPr>
                <w:rFonts w:asciiTheme="minorEastAsia" w:hAnsiTheme="minorEastAsia" w:cstheme="minorEastAsia" w:hint="eastAsia"/>
                <w:b/>
                <w:bCs/>
                <w:color w:val="000000"/>
                <w:kern w:val="0"/>
                <w:sz w:val="24"/>
              </w:rPr>
              <w:t xml:space="preserve">防水级IPX 5级：可以在自来水下冲洗； </w:t>
            </w:r>
          </w:p>
          <w:p w:rsidR="0046592A" w:rsidRDefault="0059016D">
            <w:pPr>
              <w:rPr>
                <w:rFonts w:ascii="仿宋" w:eastAsia="仿宋" w:hAnsi="仿宋" w:cs="仿宋"/>
                <w:color w:val="000000" w:themeColor="text1"/>
                <w:sz w:val="24"/>
              </w:rPr>
            </w:pPr>
            <w:r>
              <w:rPr>
                <w:rFonts w:asciiTheme="minorEastAsia" w:hAnsiTheme="minorEastAsia" w:cstheme="minorEastAsia" w:hint="eastAsia"/>
                <w:b/>
                <w:bCs/>
                <w:sz w:val="24"/>
              </w:rPr>
              <w:t xml:space="preserve">工作条件 </w:t>
            </w:r>
          </w:p>
        </w:tc>
      </w:tr>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2</w:t>
            </w:r>
          </w:p>
        </w:tc>
        <w:tc>
          <w:tcPr>
            <w:tcW w:w="7599" w:type="dxa"/>
          </w:tcPr>
          <w:p w:rsidR="0046592A" w:rsidRDefault="0059016D">
            <w:pPr>
              <w:widowControl/>
              <w:shd w:val="clear" w:color="auto" w:fill="FFFFFF"/>
              <w:spacing w:line="345" w:lineRule="atLeast"/>
              <w:jc w:val="left"/>
              <w:rPr>
                <w:rFonts w:ascii="仿宋" w:eastAsia="仿宋" w:hAnsi="仿宋" w:cs="仿宋"/>
                <w:color w:val="000000" w:themeColor="text1"/>
                <w:sz w:val="24"/>
              </w:rPr>
            </w:pPr>
            <w:r>
              <w:rPr>
                <w:rFonts w:asciiTheme="minorEastAsia" w:hAnsiTheme="minorEastAsia" w:cstheme="minorEastAsia" w:hint="eastAsia"/>
                <w:b/>
                <w:bCs/>
                <w:color w:val="000000"/>
                <w:kern w:val="0"/>
                <w:sz w:val="24"/>
              </w:rPr>
              <w:t>不受方位限制，营养泵无论怎么放置都不会影响输注；</w:t>
            </w:r>
          </w:p>
        </w:tc>
      </w:tr>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7599" w:type="dxa"/>
          </w:tcPr>
          <w:p w:rsidR="0046592A" w:rsidRDefault="0059016D">
            <w:pPr>
              <w:widowControl/>
              <w:shd w:val="clear" w:color="auto" w:fill="FFFFFF"/>
              <w:spacing w:line="345" w:lineRule="atLeast"/>
              <w:jc w:val="left"/>
              <w:rPr>
                <w:rFonts w:ascii="仿宋" w:eastAsia="仿宋" w:hAnsi="仿宋" w:cs="仿宋"/>
                <w:color w:val="000000" w:themeColor="text1"/>
                <w:sz w:val="24"/>
              </w:rPr>
            </w:pPr>
            <w:r>
              <w:rPr>
                <w:rFonts w:asciiTheme="minorEastAsia" w:hAnsiTheme="minorEastAsia" w:cstheme="minorEastAsia" w:hint="eastAsia"/>
                <w:b/>
                <w:bCs/>
                <w:color w:val="000000"/>
                <w:kern w:val="0"/>
                <w:sz w:val="24"/>
              </w:rPr>
              <w:t>潮汐式输注，4光点感应流速；</w:t>
            </w:r>
          </w:p>
        </w:tc>
      </w:tr>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7599" w:type="dxa"/>
          </w:tcPr>
          <w:p w:rsidR="0046592A" w:rsidRDefault="0059016D">
            <w:pPr>
              <w:widowControl/>
              <w:shd w:val="clear" w:color="auto" w:fill="FFFFFF"/>
              <w:spacing w:line="345" w:lineRule="atLeast"/>
              <w:jc w:val="left"/>
              <w:rPr>
                <w:rFonts w:ascii="仿宋" w:eastAsia="仿宋" w:hAnsi="仿宋" w:cs="仿宋"/>
                <w:color w:val="000000" w:themeColor="text1"/>
                <w:sz w:val="24"/>
              </w:rPr>
            </w:pPr>
            <w:r>
              <w:rPr>
                <w:rFonts w:asciiTheme="minorEastAsia" w:hAnsiTheme="minorEastAsia" w:cstheme="minorEastAsia" w:hint="eastAsia"/>
                <w:b/>
                <w:bCs/>
                <w:color w:val="000000"/>
                <w:kern w:val="0"/>
                <w:sz w:val="24"/>
              </w:rPr>
              <w:t>输注量和输注速度的设置，泵输注总量是1-4000ml，调节精确度至1ml，输注速度1-400ml/h，误差率为+-5%；</w:t>
            </w:r>
          </w:p>
        </w:tc>
      </w:tr>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7599" w:type="dxa"/>
          </w:tcPr>
          <w:p w:rsidR="0046592A" w:rsidRDefault="0059016D">
            <w:pPr>
              <w:widowControl/>
              <w:shd w:val="clear" w:color="auto" w:fill="FFFFFF"/>
              <w:spacing w:line="345" w:lineRule="atLeast"/>
              <w:jc w:val="left"/>
              <w:rPr>
                <w:rFonts w:ascii="仿宋" w:eastAsia="仿宋" w:hAnsi="仿宋" w:cs="仿宋"/>
                <w:color w:val="000000" w:themeColor="text1"/>
                <w:sz w:val="24"/>
              </w:rPr>
            </w:pPr>
            <w:r>
              <w:rPr>
                <w:rFonts w:asciiTheme="minorEastAsia" w:hAnsiTheme="minorEastAsia" w:cstheme="minorEastAsia" w:hint="eastAsia"/>
                <w:b/>
                <w:bCs/>
                <w:color w:val="0000FF"/>
                <w:kern w:val="0"/>
                <w:sz w:val="24"/>
              </w:rPr>
              <w:t>250ml/小时可连续泵注24小</w:t>
            </w:r>
            <w:r>
              <w:rPr>
                <w:rFonts w:asciiTheme="minorEastAsia" w:hAnsiTheme="minorEastAsia" w:cstheme="minorEastAsia" w:hint="eastAsia"/>
                <w:b/>
                <w:bCs/>
                <w:color w:val="000000"/>
                <w:kern w:val="0"/>
                <w:sz w:val="24"/>
              </w:rPr>
              <w:t>时；</w:t>
            </w:r>
          </w:p>
        </w:tc>
      </w:tr>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7599" w:type="dxa"/>
          </w:tcPr>
          <w:p w:rsidR="0046592A" w:rsidRDefault="0059016D">
            <w:pPr>
              <w:widowControl/>
              <w:shd w:val="clear" w:color="auto" w:fill="FFFFFF"/>
              <w:spacing w:line="345" w:lineRule="atLeast"/>
              <w:jc w:val="left"/>
              <w:rPr>
                <w:rFonts w:ascii="仿宋" w:eastAsia="仿宋" w:hAnsi="仿宋" w:cs="仿宋"/>
                <w:color w:val="000000" w:themeColor="text1"/>
                <w:sz w:val="24"/>
              </w:rPr>
            </w:pPr>
            <w:r>
              <w:rPr>
                <w:rFonts w:asciiTheme="minorEastAsia" w:hAnsiTheme="minorEastAsia" w:cstheme="minorEastAsia" w:hint="eastAsia"/>
                <w:b/>
                <w:bCs/>
                <w:color w:val="000000"/>
                <w:kern w:val="0"/>
                <w:sz w:val="24"/>
              </w:rPr>
              <w:t>选用一键排气功能，没有滚珠夹，使用更方便；</w:t>
            </w:r>
          </w:p>
        </w:tc>
      </w:tr>
      <w:tr w:rsidR="0046592A">
        <w:trPr>
          <w:jc w:val="center"/>
        </w:trPr>
        <w:tc>
          <w:tcPr>
            <w:tcW w:w="696"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7599" w:type="dxa"/>
          </w:tcPr>
          <w:p w:rsidR="0046592A" w:rsidRDefault="0059016D">
            <w:pPr>
              <w:rPr>
                <w:rFonts w:asciiTheme="minorEastAsia" w:hAnsiTheme="minorEastAsia" w:cstheme="minorEastAsia"/>
                <w:b/>
                <w:bCs/>
                <w:sz w:val="24"/>
              </w:rPr>
            </w:pPr>
            <w:r>
              <w:rPr>
                <w:rFonts w:asciiTheme="minorEastAsia" w:hAnsiTheme="minorEastAsia" w:cstheme="minorEastAsia" w:hint="eastAsia"/>
                <w:b/>
                <w:bCs/>
                <w:sz w:val="24"/>
              </w:rPr>
              <w:t xml:space="preserve"> 有报警功能：流体流动自控装置自动保护、管路堵塞报警、气泡报警、输注完毕等相关报警提示。</w:t>
            </w:r>
          </w:p>
          <w:p w:rsidR="0046592A" w:rsidRDefault="0046592A">
            <w:pPr>
              <w:spacing w:line="440" w:lineRule="exact"/>
              <w:rPr>
                <w:rFonts w:ascii="仿宋" w:eastAsia="仿宋" w:hAnsi="仿宋" w:cs="仿宋"/>
                <w:color w:val="000000" w:themeColor="text1"/>
                <w:sz w:val="24"/>
              </w:rPr>
            </w:pPr>
          </w:p>
        </w:tc>
      </w:tr>
    </w:tbl>
    <w:p w:rsidR="0046592A" w:rsidRDefault="0059016D">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r>
        <w:rPr>
          <w:rFonts w:ascii="仿宋" w:eastAsia="仿宋" w:hAnsi="仿宋" w:cs="仿宋"/>
          <w:b/>
          <w:color w:val="000000" w:themeColor="text1"/>
          <w:sz w:val="24"/>
        </w:rPr>
        <w:t xml:space="preserve"> </w:t>
      </w:r>
    </w:p>
    <w:tbl>
      <w:tblPr>
        <w:tblStyle w:val="aa"/>
        <w:tblW w:w="0" w:type="auto"/>
        <w:tblInd w:w="108" w:type="dxa"/>
        <w:tblLook w:val="04A0"/>
      </w:tblPr>
      <w:tblGrid>
        <w:gridCol w:w="709"/>
        <w:gridCol w:w="1652"/>
        <w:gridCol w:w="3972"/>
        <w:gridCol w:w="969"/>
        <w:gridCol w:w="920"/>
      </w:tblGrid>
      <w:tr w:rsidR="0046592A">
        <w:tc>
          <w:tcPr>
            <w:tcW w:w="709"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652"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3972"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46592A">
        <w:tc>
          <w:tcPr>
            <w:tcW w:w="709"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652" w:type="dxa"/>
          </w:tcPr>
          <w:p w:rsidR="0046592A" w:rsidRDefault="0059016D">
            <w:pPr>
              <w:spacing w:line="440" w:lineRule="exact"/>
              <w:rPr>
                <w:rFonts w:ascii="仿宋" w:eastAsia="仿宋" w:hAnsi="仿宋" w:cs="仿宋"/>
                <w:color w:val="000000" w:themeColor="text1"/>
                <w:sz w:val="24"/>
              </w:rPr>
            </w:pPr>
            <w:r>
              <w:rPr>
                <w:rFonts w:asciiTheme="minorEastAsia" w:hAnsiTheme="minorEastAsia" w:cstheme="minorEastAsia" w:hint="eastAsia"/>
                <w:b/>
                <w:bCs/>
                <w:sz w:val="24"/>
              </w:rPr>
              <w:t>温度、湿度要求：</w:t>
            </w:r>
          </w:p>
        </w:tc>
        <w:tc>
          <w:tcPr>
            <w:tcW w:w="3972" w:type="dxa"/>
          </w:tcPr>
          <w:p w:rsidR="0046592A" w:rsidRDefault="0059016D">
            <w:pPr>
              <w:tabs>
                <w:tab w:val="left" w:pos="700"/>
              </w:tabs>
              <w:rPr>
                <w:rFonts w:asciiTheme="minorEastAsia" w:hAnsiTheme="minorEastAsia" w:cstheme="minorEastAsia"/>
                <w:b/>
                <w:bCs/>
                <w:sz w:val="24"/>
              </w:rPr>
            </w:pPr>
            <w:r>
              <w:rPr>
                <w:rFonts w:asciiTheme="minorEastAsia" w:hAnsiTheme="minorEastAsia" w:cstheme="minorEastAsia" w:hint="eastAsia"/>
                <w:b/>
                <w:bCs/>
                <w:sz w:val="24"/>
              </w:rPr>
              <w:t>温度：-40℃～+50℃，相对湿度：30%～90%的环境下运行。</w:t>
            </w:r>
          </w:p>
          <w:p w:rsidR="0046592A" w:rsidRDefault="0046592A">
            <w:pPr>
              <w:spacing w:line="440" w:lineRule="exact"/>
              <w:rPr>
                <w:rFonts w:ascii="仿宋" w:eastAsia="仿宋" w:hAnsi="仿宋" w:cs="仿宋"/>
                <w:color w:val="000000" w:themeColor="text1"/>
                <w:sz w:val="24"/>
              </w:rPr>
            </w:pPr>
          </w:p>
        </w:tc>
        <w:tc>
          <w:tcPr>
            <w:tcW w:w="969" w:type="dxa"/>
          </w:tcPr>
          <w:p w:rsidR="0046592A" w:rsidRDefault="0046592A">
            <w:pPr>
              <w:spacing w:line="440" w:lineRule="exact"/>
              <w:rPr>
                <w:rFonts w:ascii="仿宋" w:eastAsia="仿宋" w:hAnsi="仿宋" w:cs="仿宋"/>
                <w:color w:val="000000" w:themeColor="text1"/>
                <w:sz w:val="24"/>
              </w:rPr>
            </w:pPr>
          </w:p>
        </w:tc>
        <w:tc>
          <w:tcPr>
            <w:tcW w:w="920" w:type="dxa"/>
          </w:tcPr>
          <w:p w:rsidR="0046592A" w:rsidRDefault="0046592A">
            <w:pPr>
              <w:jc w:val="center"/>
              <w:rPr>
                <w:rFonts w:ascii="仿宋" w:eastAsia="仿宋" w:hAnsi="仿宋" w:cs="仿宋"/>
                <w:color w:val="000000" w:themeColor="text1"/>
                <w:sz w:val="24"/>
              </w:rPr>
            </w:pPr>
          </w:p>
        </w:tc>
      </w:tr>
      <w:tr w:rsidR="0046592A">
        <w:tc>
          <w:tcPr>
            <w:tcW w:w="709"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652" w:type="dxa"/>
          </w:tcPr>
          <w:p w:rsidR="0046592A" w:rsidRDefault="0059016D">
            <w:pPr>
              <w:spacing w:line="440" w:lineRule="exact"/>
              <w:rPr>
                <w:rFonts w:ascii="仿宋" w:eastAsia="仿宋" w:hAnsi="仿宋" w:cs="仿宋"/>
                <w:color w:val="000000" w:themeColor="text1"/>
                <w:sz w:val="24"/>
              </w:rPr>
            </w:pPr>
            <w:r>
              <w:rPr>
                <w:rFonts w:asciiTheme="minorEastAsia" w:hAnsiTheme="minorEastAsia" w:cstheme="minorEastAsia" w:hint="eastAsia"/>
                <w:b/>
                <w:bCs/>
                <w:sz w:val="24"/>
              </w:rPr>
              <w:t>工作时间：</w:t>
            </w:r>
          </w:p>
        </w:tc>
        <w:tc>
          <w:tcPr>
            <w:tcW w:w="3972" w:type="dxa"/>
          </w:tcPr>
          <w:p w:rsidR="0046592A" w:rsidRDefault="0059016D">
            <w:pPr>
              <w:spacing w:line="440" w:lineRule="exact"/>
              <w:rPr>
                <w:rFonts w:ascii="仿宋" w:eastAsia="仿宋" w:hAnsi="仿宋" w:cs="仿宋"/>
                <w:color w:val="000000" w:themeColor="text1"/>
                <w:sz w:val="24"/>
              </w:rPr>
            </w:pPr>
            <w:r>
              <w:rPr>
                <w:rFonts w:asciiTheme="minorEastAsia" w:hAnsiTheme="minorEastAsia" w:cstheme="minorEastAsia" w:hint="eastAsia"/>
                <w:b/>
                <w:bCs/>
                <w:sz w:val="24"/>
              </w:rPr>
              <w:t>连续工作时间不应少于24小时，允许停机时间不应少于连续12小时。</w:t>
            </w:r>
          </w:p>
        </w:tc>
        <w:tc>
          <w:tcPr>
            <w:tcW w:w="969" w:type="dxa"/>
          </w:tcPr>
          <w:p w:rsidR="0046592A" w:rsidRDefault="0046592A" w:rsidP="00DE705B">
            <w:pPr>
              <w:spacing w:line="440" w:lineRule="exact"/>
              <w:ind w:firstLineChars="49" w:firstLine="118"/>
              <w:rPr>
                <w:rFonts w:ascii="仿宋" w:eastAsia="仿宋" w:hAnsi="仿宋" w:cs="仿宋"/>
                <w:color w:val="000000" w:themeColor="text1"/>
                <w:sz w:val="24"/>
              </w:rPr>
            </w:pPr>
          </w:p>
        </w:tc>
        <w:tc>
          <w:tcPr>
            <w:tcW w:w="920" w:type="dxa"/>
          </w:tcPr>
          <w:p w:rsidR="0046592A" w:rsidRDefault="0046592A">
            <w:pPr>
              <w:tabs>
                <w:tab w:val="left" w:pos="310"/>
              </w:tabs>
              <w:spacing w:line="440" w:lineRule="exact"/>
              <w:jc w:val="center"/>
              <w:rPr>
                <w:rFonts w:ascii="仿宋" w:eastAsia="仿宋" w:hAnsi="仿宋" w:cs="仿宋"/>
                <w:color w:val="000000" w:themeColor="text1"/>
                <w:sz w:val="24"/>
              </w:rPr>
            </w:pPr>
          </w:p>
        </w:tc>
      </w:tr>
      <w:tr w:rsidR="0046592A">
        <w:tc>
          <w:tcPr>
            <w:tcW w:w="709"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652" w:type="dxa"/>
          </w:tcPr>
          <w:p w:rsidR="0046592A" w:rsidRDefault="0059016D">
            <w:pPr>
              <w:spacing w:line="440" w:lineRule="exact"/>
              <w:rPr>
                <w:rFonts w:ascii="仿宋" w:eastAsia="仿宋" w:hAnsi="仿宋" w:cs="仿宋"/>
                <w:b/>
                <w:color w:val="000000" w:themeColor="text1"/>
                <w:sz w:val="24"/>
              </w:rPr>
            </w:pPr>
            <w:r>
              <w:rPr>
                <w:rFonts w:asciiTheme="minorEastAsia" w:hAnsiTheme="minorEastAsia" w:cstheme="minorEastAsia" w:hint="eastAsia"/>
                <w:b/>
                <w:sz w:val="24"/>
              </w:rPr>
              <w:t>★耗材限价：</w:t>
            </w:r>
          </w:p>
        </w:tc>
        <w:tc>
          <w:tcPr>
            <w:tcW w:w="3972" w:type="dxa"/>
          </w:tcPr>
          <w:p w:rsidR="0046592A" w:rsidRDefault="0059016D">
            <w:pPr>
              <w:spacing w:line="360" w:lineRule="auto"/>
              <w:rPr>
                <w:rFonts w:asciiTheme="minorEastAsia" w:hAnsiTheme="minorEastAsia" w:cstheme="minorEastAsia"/>
                <w:b/>
                <w:sz w:val="24"/>
              </w:rPr>
            </w:pPr>
            <w:r>
              <w:rPr>
                <w:rFonts w:asciiTheme="minorEastAsia" w:hAnsiTheme="minorEastAsia" w:cstheme="minorEastAsia" w:hint="eastAsia"/>
                <w:b/>
                <w:sz w:val="24"/>
              </w:rPr>
              <w:t>营养泵管价格≤39.09元/根</w:t>
            </w:r>
          </w:p>
          <w:p w:rsidR="0046592A" w:rsidRDefault="0046592A">
            <w:pPr>
              <w:spacing w:line="440" w:lineRule="exact"/>
              <w:rPr>
                <w:rFonts w:ascii="仿宋" w:eastAsia="仿宋" w:hAnsi="仿宋" w:cs="仿宋"/>
                <w:b/>
                <w:color w:val="000000" w:themeColor="text1"/>
                <w:sz w:val="24"/>
              </w:rPr>
            </w:pPr>
          </w:p>
        </w:tc>
        <w:tc>
          <w:tcPr>
            <w:tcW w:w="969" w:type="dxa"/>
          </w:tcPr>
          <w:p w:rsidR="0046592A" w:rsidRDefault="0046592A">
            <w:pPr>
              <w:spacing w:line="440" w:lineRule="exact"/>
              <w:rPr>
                <w:rFonts w:ascii="仿宋" w:eastAsia="仿宋" w:hAnsi="仿宋" w:cs="仿宋"/>
                <w:b/>
                <w:color w:val="000000" w:themeColor="text1"/>
                <w:sz w:val="24"/>
              </w:rPr>
            </w:pPr>
          </w:p>
        </w:tc>
        <w:tc>
          <w:tcPr>
            <w:tcW w:w="920" w:type="dxa"/>
          </w:tcPr>
          <w:p w:rsidR="0046592A" w:rsidRDefault="0046592A">
            <w:pPr>
              <w:spacing w:line="440" w:lineRule="exact"/>
              <w:rPr>
                <w:rFonts w:ascii="仿宋" w:eastAsia="仿宋" w:hAnsi="仿宋" w:cs="仿宋"/>
                <w:b/>
                <w:color w:val="000000" w:themeColor="text1"/>
                <w:sz w:val="24"/>
              </w:rPr>
            </w:pPr>
          </w:p>
        </w:tc>
      </w:tr>
      <w:tr w:rsidR="0046592A">
        <w:tc>
          <w:tcPr>
            <w:tcW w:w="709" w:type="dxa"/>
          </w:tcPr>
          <w:p w:rsidR="0046592A" w:rsidRDefault="0059016D">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652" w:type="dxa"/>
          </w:tcPr>
          <w:p w:rsidR="0046592A" w:rsidRDefault="0059016D">
            <w:pPr>
              <w:spacing w:line="440" w:lineRule="exact"/>
              <w:rPr>
                <w:rFonts w:ascii="仿宋" w:eastAsia="仿宋" w:hAnsi="仿宋" w:cs="仿宋"/>
                <w:b/>
                <w:color w:val="000000" w:themeColor="text1"/>
                <w:sz w:val="24"/>
              </w:rPr>
            </w:pPr>
            <w:r>
              <w:rPr>
                <w:rFonts w:asciiTheme="minorEastAsia" w:hAnsiTheme="minorEastAsia" w:cstheme="minorEastAsia" w:hint="eastAsia"/>
                <w:b/>
                <w:sz w:val="24"/>
              </w:rPr>
              <w:t>配置清单要求：</w:t>
            </w:r>
          </w:p>
        </w:tc>
        <w:tc>
          <w:tcPr>
            <w:tcW w:w="3972" w:type="dxa"/>
          </w:tcPr>
          <w:p w:rsidR="0046592A" w:rsidRDefault="0059016D">
            <w:pPr>
              <w:tabs>
                <w:tab w:val="left" w:pos="360"/>
              </w:tabs>
              <w:rPr>
                <w:rFonts w:asciiTheme="minorEastAsia" w:hAnsiTheme="minorEastAsia" w:cstheme="minorEastAsia"/>
                <w:sz w:val="24"/>
              </w:rPr>
            </w:pPr>
            <w:r>
              <w:rPr>
                <w:rFonts w:asciiTheme="minorEastAsia" w:hAnsiTheme="minorEastAsia" w:cstheme="minorEastAsia" w:hint="eastAsia"/>
                <w:sz w:val="24"/>
                <w:szCs w:val="21"/>
              </w:rPr>
              <w:t>每台标准配置</w:t>
            </w:r>
            <w:r>
              <w:rPr>
                <w:rFonts w:asciiTheme="minorEastAsia" w:hAnsiTheme="minorEastAsia" w:cstheme="minorEastAsia" w:hint="eastAsia"/>
                <w:sz w:val="24"/>
              </w:rPr>
              <w:t xml:space="preserve"> ： </w:t>
            </w:r>
          </w:p>
          <w:p w:rsidR="0046592A" w:rsidRDefault="0059016D">
            <w:pPr>
              <w:numPr>
                <w:ilvl w:val="0"/>
                <w:numId w:val="2"/>
              </w:numPr>
              <w:tabs>
                <w:tab w:val="clear" w:pos="312"/>
                <w:tab w:val="left" w:pos="360"/>
              </w:tabs>
              <w:rPr>
                <w:rFonts w:asciiTheme="minorEastAsia" w:hAnsiTheme="minorEastAsia" w:cstheme="minorEastAsia"/>
                <w:sz w:val="24"/>
                <w:szCs w:val="21"/>
              </w:rPr>
            </w:pPr>
            <w:r>
              <w:rPr>
                <w:rFonts w:asciiTheme="minorEastAsia" w:hAnsiTheme="minorEastAsia" w:cstheme="minorEastAsia" w:hint="eastAsia"/>
                <w:sz w:val="24"/>
                <w:szCs w:val="21"/>
              </w:rPr>
              <w:t>营养泵（1台），</w:t>
            </w:r>
          </w:p>
          <w:p w:rsidR="0046592A" w:rsidRDefault="0059016D">
            <w:pPr>
              <w:numPr>
                <w:ilvl w:val="0"/>
                <w:numId w:val="2"/>
              </w:numPr>
              <w:tabs>
                <w:tab w:val="clear" w:pos="312"/>
                <w:tab w:val="left" w:pos="360"/>
              </w:tabs>
              <w:rPr>
                <w:rFonts w:ascii="仿宋" w:eastAsia="仿宋" w:hAnsi="仿宋" w:cs="仿宋"/>
                <w:b/>
                <w:color w:val="000000" w:themeColor="text1"/>
                <w:sz w:val="24"/>
              </w:rPr>
            </w:pPr>
            <w:r>
              <w:rPr>
                <w:rFonts w:asciiTheme="minorEastAsia" w:hAnsiTheme="minorEastAsia" w:cstheme="minorEastAsia" w:hint="eastAsia"/>
                <w:sz w:val="24"/>
                <w:szCs w:val="21"/>
              </w:rPr>
              <w:t>2.电源配置器（1个），</w:t>
            </w:r>
          </w:p>
          <w:p w:rsidR="0046592A" w:rsidRDefault="0059016D">
            <w:pPr>
              <w:numPr>
                <w:ilvl w:val="0"/>
                <w:numId w:val="2"/>
              </w:numPr>
              <w:tabs>
                <w:tab w:val="clear" w:pos="312"/>
                <w:tab w:val="left" w:pos="360"/>
              </w:tabs>
              <w:rPr>
                <w:rFonts w:ascii="仿宋" w:eastAsia="仿宋" w:hAnsi="仿宋" w:cs="仿宋"/>
                <w:b/>
                <w:color w:val="000000" w:themeColor="text1"/>
                <w:sz w:val="24"/>
              </w:rPr>
            </w:pPr>
            <w:r>
              <w:rPr>
                <w:rFonts w:asciiTheme="minorEastAsia" w:hAnsiTheme="minorEastAsia" w:cstheme="minorEastAsia" w:hint="eastAsia"/>
                <w:sz w:val="24"/>
                <w:szCs w:val="21"/>
              </w:rPr>
              <w:t>3.简便实用说明标签（1个）</w:t>
            </w:r>
          </w:p>
        </w:tc>
        <w:tc>
          <w:tcPr>
            <w:tcW w:w="969" w:type="dxa"/>
          </w:tcPr>
          <w:p w:rsidR="0046592A" w:rsidRDefault="0046592A">
            <w:pPr>
              <w:spacing w:line="440" w:lineRule="exact"/>
              <w:rPr>
                <w:rFonts w:ascii="仿宋" w:eastAsia="仿宋" w:hAnsi="仿宋" w:cs="仿宋"/>
                <w:b/>
                <w:color w:val="000000" w:themeColor="text1"/>
                <w:sz w:val="24"/>
              </w:rPr>
            </w:pPr>
          </w:p>
        </w:tc>
        <w:tc>
          <w:tcPr>
            <w:tcW w:w="920" w:type="dxa"/>
          </w:tcPr>
          <w:p w:rsidR="0046592A" w:rsidRDefault="0046592A">
            <w:pPr>
              <w:spacing w:line="440" w:lineRule="exact"/>
              <w:rPr>
                <w:rFonts w:ascii="仿宋" w:eastAsia="仿宋" w:hAnsi="仿宋" w:cs="仿宋"/>
                <w:b/>
                <w:color w:val="000000" w:themeColor="text1"/>
                <w:sz w:val="24"/>
              </w:rPr>
            </w:pPr>
          </w:p>
        </w:tc>
      </w:tr>
    </w:tbl>
    <w:p w:rsidR="0046592A" w:rsidRDefault="0059016D">
      <w:pPr>
        <w:numPr>
          <w:ilvl w:val="0"/>
          <w:numId w:val="1"/>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46592A" w:rsidRDefault="0059016D">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themeColor="text1"/>
          <w:sz w:val="24"/>
          <w:u w:val="single"/>
        </w:rPr>
        <w:t xml:space="preserve"> </w:t>
      </w:r>
      <w:r w:rsidR="00DE705B">
        <w:rPr>
          <w:rFonts w:ascii="仿宋" w:eastAsia="仿宋" w:hAnsi="仿宋" w:cs="仿宋" w:hint="eastAsia"/>
          <w:color w:val="000000" w:themeColor="text1"/>
          <w:sz w:val="24"/>
          <w:u w:val="single"/>
        </w:rPr>
        <w:t>30</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日内完成设备的安装调试。合同设备交付时中标供应商应提供合同设备真实有效的生产日期，且保证合同设备的生产日期距交付时的时间差不超过</w:t>
      </w:r>
      <w:r>
        <w:rPr>
          <w:rFonts w:ascii="仿宋" w:eastAsia="仿宋" w:hAnsi="仿宋" w:cs="仿宋" w:hint="eastAsia"/>
          <w:color w:val="000000" w:themeColor="text1"/>
          <w:sz w:val="24"/>
          <w:u w:val="single"/>
        </w:rPr>
        <w:t xml:space="preserve"> </w:t>
      </w:r>
      <w:r w:rsidR="00DE705B">
        <w:rPr>
          <w:rFonts w:ascii="仿宋" w:eastAsia="仿宋" w:hAnsi="仿宋" w:cs="仿宋" w:hint="eastAsia"/>
          <w:color w:val="000000" w:themeColor="text1"/>
          <w:sz w:val="24"/>
          <w:u w:val="single"/>
        </w:rPr>
        <w:t>6个</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月。</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1.5验收方式：按《小榄镇公立医院政府采购和验收办法》。</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★1.6投标供应商须要在投标文件做出具承诺函，该承诺函包括但不限于以下内容:</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承诺中标后须在中标公告发布之日起五个工作日内提供设备制造厂商开具并盖章的合法有效的授权函原件（盖鲜章）、售后服务承诺函原件（盖鲜章）。</w:t>
      </w:r>
    </w:p>
    <w:p w:rsidR="0046592A" w:rsidRDefault="0059016D">
      <w:pPr>
        <w:spacing w:line="440" w:lineRule="exact"/>
        <w:rPr>
          <w:rFonts w:ascii="仿宋" w:eastAsia="仿宋" w:hAnsi="仿宋" w:cs="仿宋"/>
          <w:color w:val="000000" w:themeColor="text1"/>
          <w:sz w:val="24"/>
          <w:highlight w:val="yellow"/>
        </w:rPr>
      </w:pPr>
      <w:r>
        <w:rPr>
          <w:rFonts w:ascii="仿宋" w:eastAsia="仿宋" w:hAnsi="仿宋" w:cs="仿宋" w:hint="eastAsia"/>
          <w:color w:val="000000" w:themeColor="text1"/>
          <w:sz w:val="24"/>
        </w:rPr>
        <w:t xml:space="preserve">1.7 </w:t>
      </w:r>
      <w:r>
        <w:rPr>
          <w:rFonts w:ascii="仿宋" w:eastAsia="仿宋" w:hAnsi="仿宋" w:cs="仿宋" w:hint="eastAsia"/>
          <w:color w:val="000000" w:themeColor="text1"/>
          <w:sz w:val="24"/>
          <w:highlight w:val="yellow"/>
        </w:rPr>
        <w:t>乙方所投设备属于计量仪器的，需通过具有国家部门颁发专业检测资质证书的第三方计量检测单位检测并提供合格报告。</w:t>
      </w:r>
    </w:p>
    <w:p w:rsidR="0046592A" w:rsidRDefault="0059016D">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46592A" w:rsidRDefault="0059016D">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★2.2中标供应商须提供设备原厂质保（设备原厂质量保修范围和保修期）至少为</w:t>
      </w:r>
      <w:r>
        <w:rPr>
          <w:rFonts w:ascii="仿宋" w:eastAsia="仿宋" w:hAnsi="仿宋" w:cs="仿宋" w:hint="eastAsia"/>
          <w:color w:val="000000" w:themeColor="text1"/>
          <w:sz w:val="24"/>
          <w:u w:val="single"/>
        </w:rPr>
        <w:t xml:space="preserve"> </w:t>
      </w:r>
      <w:r w:rsidR="003160AE">
        <w:rPr>
          <w:rFonts w:ascii="仿宋" w:eastAsia="仿宋" w:hAnsi="仿宋" w:cs="仿宋" w:hint="eastAsia"/>
          <w:color w:val="000000" w:themeColor="text1"/>
          <w:sz w:val="24"/>
          <w:u w:val="single"/>
        </w:rPr>
        <w:t>贰</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年。</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46592A" w:rsidRDefault="0059016D">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46592A" w:rsidRDefault="0059016D">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46592A" w:rsidRDefault="0059016D">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46592A" w:rsidRDefault="0059016D">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46592A" w:rsidRDefault="0059016D">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46592A" w:rsidRDefault="0059016D">
      <w:pPr>
        <w:spacing w:line="440" w:lineRule="exact"/>
        <w:rPr>
          <w:rFonts w:ascii="仿宋" w:eastAsia="仿宋" w:hAnsi="仿宋" w:cs="仿宋"/>
          <w:color w:val="000000" w:themeColor="text1"/>
          <w:sz w:val="24"/>
          <w:highlight w:val="yellow"/>
        </w:rPr>
      </w:pPr>
      <w:r>
        <w:rPr>
          <w:rFonts w:ascii="仿宋" w:eastAsia="仿宋" w:hAnsi="仿宋" w:cs="仿宋" w:hint="eastAsia"/>
          <w:color w:val="000000" w:themeColor="text1"/>
          <w:sz w:val="24"/>
          <w:highlight w:val="yellow"/>
        </w:rPr>
        <w:t>★3.2</w:t>
      </w:r>
      <w:r>
        <w:rPr>
          <w:rFonts w:ascii="仿宋" w:eastAsia="仿宋" w:hAnsi="仿宋" w:cs="仿宋" w:hint="eastAsia"/>
          <w:sz w:val="24"/>
          <w:highlight w:val="yellow"/>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sidR="003160AE">
        <w:rPr>
          <w:rFonts w:ascii="仿宋" w:eastAsia="仿宋" w:hAnsi="仿宋" w:cs="仿宋" w:hint="eastAsia"/>
          <w:sz w:val="24"/>
          <w:highlight w:val="yellow"/>
          <w:u w:val="single"/>
        </w:rPr>
        <w:t>质保期满</w:t>
      </w:r>
      <w:r>
        <w:rPr>
          <w:rFonts w:ascii="仿宋" w:eastAsia="仿宋" w:hAnsi="仿宋" w:cs="仿宋" w:hint="eastAsia"/>
          <w:sz w:val="24"/>
          <w:highlight w:val="yellow"/>
        </w:rPr>
        <w:t>后无息支付。</w:t>
      </w:r>
    </w:p>
    <w:p w:rsidR="0046592A" w:rsidRDefault="0046592A">
      <w:pPr>
        <w:spacing w:line="440" w:lineRule="exact"/>
        <w:rPr>
          <w:rFonts w:ascii="仿宋" w:eastAsia="仿宋" w:hAnsi="仿宋" w:cs="仿宋"/>
          <w:color w:val="FF0000"/>
          <w:sz w:val="24"/>
          <w:highlight w:val="yellow"/>
        </w:rPr>
      </w:pPr>
    </w:p>
    <w:sectPr w:rsidR="0046592A" w:rsidSect="0046592A">
      <w:footerReference w:type="default" r:id="rId9"/>
      <w:pgSz w:w="11906" w:h="16838"/>
      <w:pgMar w:top="1440" w:right="1800" w:bottom="1440" w:left="1800" w:header="851" w:footer="425"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4F2" w:rsidRDefault="003054F2" w:rsidP="0046592A">
      <w:r>
        <w:separator/>
      </w:r>
    </w:p>
  </w:endnote>
  <w:endnote w:type="continuationSeparator" w:id="0">
    <w:p w:rsidR="003054F2" w:rsidRDefault="003054F2" w:rsidP="00465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0351"/>
    </w:sdtPr>
    <w:sdtContent>
      <w:p w:rsidR="0046592A" w:rsidRDefault="0059016D">
        <w:pPr>
          <w:pStyle w:val="a6"/>
        </w:pPr>
        <w:r>
          <w:rPr>
            <w:rFonts w:hint="eastAsia"/>
          </w:rPr>
          <w:t>参数制定人：</w:t>
        </w:r>
        <w:r>
          <w:rPr>
            <w:rFonts w:hint="eastAsia"/>
          </w:rPr>
          <w:t xml:space="preserve">                                </w:t>
        </w:r>
        <w:r>
          <w:rPr>
            <w:rFonts w:hint="eastAsia"/>
          </w:rPr>
          <w:t>审核人：</w:t>
        </w:r>
        <w:r w:rsidR="005A2371">
          <w:pict>
            <v:shapetype id="_x0000_t202" coordsize="21600,21600" o:spt="202" path="m,l,21600r21600,l21600,xe">
              <v:stroke joinstyle="miter"/>
              <v:path gradientshapeok="t" o:connecttype="rect"/>
            </v:shapetype>
            <v:shape id="文本框 1025" o:spid="_x0000_s1026" type="#_x0000_t202" style="position:absolute;margin-left:208pt;margin-top:0;width:2in;height:2in;z-index:251659264;mso-wrap-style:none;mso-position-horizontal:right;mso-position-horizontal-relative:margin;mso-position-vertical-relative:text"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filled="f" stroked="f">
              <v:textbox style="mso-fit-shape-to-text:t" inset="0,0,0,0">
                <w:txbxContent>
                  <w:p w:rsidR="0046592A" w:rsidRDefault="0059016D">
                    <w:pPr>
                      <w:pStyle w:val="a6"/>
                      <w:jc w:val="center"/>
                    </w:pPr>
                    <w:r>
                      <w:rPr>
                        <w:lang w:val="zh-CN"/>
                      </w:rPr>
                      <w:t xml:space="preserve"> </w:t>
                    </w:r>
                    <w:r w:rsidR="005A2371">
                      <w:rPr>
                        <w:b/>
                        <w:sz w:val="24"/>
                      </w:rPr>
                      <w:fldChar w:fldCharType="begin"/>
                    </w:r>
                    <w:r>
                      <w:rPr>
                        <w:b/>
                      </w:rPr>
                      <w:instrText>PAGE</w:instrText>
                    </w:r>
                    <w:r w:rsidR="005A2371">
                      <w:rPr>
                        <w:b/>
                        <w:sz w:val="24"/>
                      </w:rPr>
                      <w:fldChar w:fldCharType="separate"/>
                    </w:r>
                    <w:r w:rsidR="003160AE">
                      <w:rPr>
                        <w:b/>
                        <w:noProof/>
                      </w:rPr>
                      <w:t>3</w:t>
                    </w:r>
                    <w:r w:rsidR="005A2371">
                      <w:rPr>
                        <w:b/>
                        <w:sz w:val="24"/>
                      </w:rPr>
                      <w:fldChar w:fldCharType="end"/>
                    </w:r>
                    <w:r>
                      <w:rPr>
                        <w:lang w:val="zh-CN"/>
                      </w:rPr>
                      <w:t xml:space="preserve"> / </w:t>
                    </w:r>
                    <w:r w:rsidR="005A2371">
                      <w:rPr>
                        <w:b/>
                        <w:sz w:val="24"/>
                      </w:rPr>
                      <w:fldChar w:fldCharType="begin"/>
                    </w:r>
                    <w:r>
                      <w:rPr>
                        <w:b/>
                      </w:rPr>
                      <w:instrText>NUMPAGES</w:instrText>
                    </w:r>
                    <w:r w:rsidR="005A2371">
                      <w:rPr>
                        <w:b/>
                        <w:sz w:val="24"/>
                      </w:rPr>
                      <w:fldChar w:fldCharType="separate"/>
                    </w:r>
                    <w:r w:rsidR="003160AE">
                      <w:rPr>
                        <w:b/>
                        <w:noProof/>
                      </w:rPr>
                      <w:t>3</w:t>
                    </w:r>
                    <w:r w:rsidR="005A2371">
                      <w:rPr>
                        <w:b/>
                        <w:sz w:val="24"/>
                      </w:rPr>
                      <w:fldChar w:fldCharType="end"/>
                    </w:r>
                  </w:p>
                </w:txbxContent>
              </v:textbox>
              <w10:wrap anchorx="margin"/>
            </v:shape>
          </w:pict>
        </w:r>
      </w:p>
      <w:p w:rsidR="0046592A" w:rsidRDefault="005A2371">
        <w:pPr>
          <w:pStyle w:val="a6"/>
        </w:pPr>
      </w:p>
    </w:sdtContent>
  </w:sdt>
  <w:p w:rsidR="0046592A" w:rsidRDefault="004659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4F2" w:rsidRDefault="003054F2" w:rsidP="0046592A">
      <w:r>
        <w:separator/>
      </w:r>
    </w:p>
  </w:footnote>
  <w:footnote w:type="continuationSeparator" w:id="0">
    <w:p w:rsidR="003054F2" w:rsidRDefault="003054F2" w:rsidP="00465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EC98D"/>
    <w:multiLevelType w:val="singleLevel"/>
    <w:tmpl w:val="C2BEC98D"/>
    <w:lvl w:ilvl="0">
      <w:start w:val="1"/>
      <w:numFmt w:val="decimal"/>
      <w:lvlText w:val="%1."/>
      <w:lvlJc w:val="left"/>
      <w:pPr>
        <w:tabs>
          <w:tab w:val="left" w:pos="312"/>
        </w:tabs>
      </w:pPr>
    </w:lvl>
  </w:abstractNum>
  <w:abstractNum w:abstractNumId="1">
    <w:nsid w:val="1E7E8738"/>
    <w:multiLevelType w:val="singleLevel"/>
    <w:tmpl w:val="1E7E873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QzODNkNGQ5Y2I0YWMzY2Q3MDZlYjdhMTJiY2U3MTkifQ=="/>
  </w:docVars>
  <w:rsids>
    <w:rsidRoot w:val="027725AF"/>
    <w:rsid w:val="00000267"/>
    <w:rsid w:val="00000AF6"/>
    <w:rsid w:val="000037D6"/>
    <w:rsid w:val="00016B72"/>
    <w:rsid w:val="00036444"/>
    <w:rsid w:val="00043BEF"/>
    <w:rsid w:val="00065257"/>
    <w:rsid w:val="000C5864"/>
    <w:rsid w:val="000E371B"/>
    <w:rsid w:val="00136269"/>
    <w:rsid w:val="00152E6E"/>
    <w:rsid w:val="001564F2"/>
    <w:rsid w:val="00164D4A"/>
    <w:rsid w:val="00194BEB"/>
    <w:rsid w:val="001D1D4A"/>
    <w:rsid w:val="001F6B01"/>
    <w:rsid w:val="00215636"/>
    <w:rsid w:val="0022457A"/>
    <w:rsid w:val="00227ED6"/>
    <w:rsid w:val="00234D13"/>
    <w:rsid w:val="002616DE"/>
    <w:rsid w:val="00293A7C"/>
    <w:rsid w:val="002B3DB8"/>
    <w:rsid w:val="002B5F04"/>
    <w:rsid w:val="002E2203"/>
    <w:rsid w:val="002F4E01"/>
    <w:rsid w:val="003054F2"/>
    <w:rsid w:val="003160AE"/>
    <w:rsid w:val="00341440"/>
    <w:rsid w:val="00342A89"/>
    <w:rsid w:val="00342D38"/>
    <w:rsid w:val="00345474"/>
    <w:rsid w:val="003662C2"/>
    <w:rsid w:val="0037094F"/>
    <w:rsid w:val="003A7C0C"/>
    <w:rsid w:val="003F6DDB"/>
    <w:rsid w:val="00411292"/>
    <w:rsid w:val="0041569C"/>
    <w:rsid w:val="004312C9"/>
    <w:rsid w:val="00440D87"/>
    <w:rsid w:val="00464791"/>
    <w:rsid w:val="0046592A"/>
    <w:rsid w:val="00467A71"/>
    <w:rsid w:val="004A1404"/>
    <w:rsid w:val="004C01AB"/>
    <w:rsid w:val="004C251B"/>
    <w:rsid w:val="005002B7"/>
    <w:rsid w:val="00507EB2"/>
    <w:rsid w:val="0052211A"/>
    <w:rsid w:val="00524703"/>
    <w:rsid w:val="0053033B"/>
    <w:rsid w:val="00535647"/>
    <w:rsid w:val="005472B7"/>
    <w:rsid w:val="00553084"/>
    <w:rsid w:val="0055425D"/>
    <w:rsid w:val="00585CA9"/>
    <w:rsid w:val="00587AFC"/>
    <w:rsid w:val="0059016D"/>
    <w:rsid w:val="005A2371"/>
    <w:rsid w:val="005A38AB"/>
    <w:rsid w:val="005C193F"/>
    <w:rsid w:val="005D041B"/>
    <w:rsid w:val="005D4C82"/>
    <w:rsid w:val="00607917"/>
    <w:rsid w:val="00643222"/>
    <w:rsid w:val="00646CFF"/>
    <w:rsid w:val="006933D1"/>
    <w:rsid w:val="00695736"/>
    <w:rsid w:val="006A0103"/>
    <w:rsid w:val="006B3174"/>
    <w:rsid w:val="00702D3D"/>
    <w:rsid w:val="007273E2"/>
    <w:rsid w:val="00752334"/>
    <w:rsid w:val="00762772"/>
    <w:rsid w:val="0077615F"/>
    <w:rsid w:val="007943B1"/>
    <w:rsid w:val="007A320E"/>
    <w:rsid w:val="007A3E4E"/>
    <w:rsid w:val="007B6779"/>
    <w:rsid w:val="007D756B"/>
    <w:rsid w:val="007E3690"/>
    <w:rsid w:val="007E613A"/>
    <w:rsid w:val="007F2B11"/>
    <w:rsid w:val="007F33E6"/>
    <w:rsid w:val="007F772E"/>
    <w:rsid w:val="00852381"/>
    <w:rsid w:val="008639CD"/>
    <w:rsid w:val="00876B88"/>
    <w:rsid w:val="008A5819"/>
    <w:rsid w:val="008A6F6D"/>
    <w:rsid w:val="008F4E7C"/>
    <w:rsid w:val="008F6ACD"/>
    <w:rsid w:val="0092262F"/>
    <w:rsid w:val="00950093"/>
    <w:rsid w:val="009670EA"/>
    <w:rsid w:val="009852DA"/>
    <w:rsid w:val="009B3DE4"/>
    <w:rsid w:val="009B5110"/>
    <w:rsid w:val="009C06B8"/>
    <w:rsid w:val="009C60B9"/>
    <w:rsid w:val="009F5D10"/>
    <w:rsid w:val="00A13374"/>
    <w:rsid w:val="00A67329"/>
    <w:rsid w:val="00AB5743"/>
    <w:rsid w:val="00AC3F2C"/>
    <w:rsid w:val="00B10D67"/>
    <w:rsid w:val="00B22E91"/>
    <w:rsid w:val="00B72C76"/>
    <w:rsid w:val="00B77F33"/>
    <w:rsid w:val="00BA0DB4"/>
    <w:rsid w:val="00BC3D3B"/>
    <w:rsid w:val="00BC522A"/>
    <w:rsid w:val="00BE1E32"/>
    <w:rsid w:val="00C23FE8"/>
    <w:rsid w:val="00C5781C"/>
    <w:rsid w:val="00C61C7C"/>
    <w:rsid w:val="00C8369A"/>
    <w:rsid w:val="00C97C1D"/>
    <w:rsid w:val="00CD392D"/>
    <w:rsid w:val="00CF6139"/>
    <w:rsid w:val="00D00163"/>
    <w:rsid w:val="00D076B0"/>
    <w:rsid w:val="00D46D87"/>
    <w:rsid w:val="00D47646"/>
    <w:rsid w:val="00D92351"/>
    <w:rsid w:val="00D932D0"/>
    <w:rsid w:val="00DC1A43"/>
    <w:rsid w:val="00DE705B"/>
    <w:rsid w:val="00DE74A8"/>
    <w:rsid w:val="00E21F2C"/>
    <w:rsid w:val="00E30BCE"/>
    <w:rsid w:val="00E35651"/>
    <w:rsid w:val="00E60436"/>
    <w:rsid w:val="00E62950"/>
    <w:rsid w:val="00E62ED3"/>
    <w:rsid w:val="00E71C5B"/>
    <w:rsid w:val="00EA68FA"/>
    <w:rsid w:val="00EC3435"/>
    <w:rsid w:val="00F066CA"/>
    <w:rsid w:val="00F42A70"/>
    <w:rsid w:val="00F75603"/>
    <w:rsid w:val="00F801B8"/>
    <w:rsid w:val="00F82B4B"/>
    <w:rsid w:val="00FA3C7F"/>
    <w:rsid w:val="00FE1DDB"/>
    <w:rsid w:val="00FF4826"/>
    <w:rsid w:val="027725AF"/>
    <w:rsid w:val="02BB05E3"/>
    <w:rsid w:val="0D7E0716"/>
    <w:rsid w:val="0E553BD5"/>
    <w:rsid w:val="126775F5"/>
    <w:rsid w:val="140524A5"/>
    <w:rsid w:val="17A84A31"/>
    <w:rsid w:val="18AC198D"/>
    <w:rsid w:val="1A362D0A"/>
    <w:rsid w:val="1A9A1AE2"/>
    <w:rsid w:val="1B7A09AE"/>
    <w:rsid w:val="1DB403E5"/>
    <w:rsid w:val="1F0C2891"/>
    <w:rsid w:val="1FF004A0"/>
    <w:rsid w:val="21F75571"/>
    <w:rsid w:val="26AC3567"/>
    <w:rsid w:val="27094723"/>
    <w:rsid w:val="28E070A3"/>
    <w:rsid w:val="2A710EAE"/>
    <w:rsid w:val="2B9A59A4"/>
    <w:rsid w:val="2D887C39"/>
    <w:rsid w:val="2D993838"/>
    <w:rsid w:val="2E110DC4"/>
    <w:rsid w:val="33712CFE"/>
    <w:rsid w:val="33895773"/>
    <w:rsid w:val="3C740147"/>
    <w:rsid w:val="3C92069F"/>
    <w:rsid w:val="3D0641E1"/>
    <w:rsid w:val="3E9B4363"/>
    <w:rsid w:val="3EEE625E"/>
    <w:rsid w:val="411354A0"/>
    <w:rsid w:val="443A5766"/>
    <w:rsid w:val="44746547"/>
    <w:rsid w:val="474C312A"/>
    <w:rsid w:val="4B846C0D"/>
    <w:rsid w:val="4BF76F64"/>
    <w:rsid w:val="4CDF517D"/>
    <w:rsid w:val="4EBD0A92"/>
    <w:rsid w:val="536241AC"/>
    <w:rsid w:val="579F1125"/>
    <w:rsid w:val="5A3921D0"/>
    <w:rsid w:val="5DC71851"/>
    <w:rsid w:val="5F796940"/>
    <w:rsid w:val="656A70AF"/>
    <w:rsid w:val="66AA15BF"/>
    <w:rsid w:val="69340CF8"/>
    <w:rsid w:val="6B624500"/>
    <w:rsid w:val="6C171CF3"/>
    <w:rsid w:val="6DDF526D"/>
    <w:rsid w:val="6FEF5856"/>
    <w:rsid w:val="724779E5"/>
    <w:rsid w:val="744B3E55"/>
    <w:rsid w:val="7BDA70B6"/>
    <w:rsid w:val="7C115C9E"/>
    <w:rsid w:val="7E2C2E60"/>
    <w:rsid w:val="7EA22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92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6592A"/>
    <w:pPr>
      <w:widowControl/>
      <w:jc w:val="left"/>
    </w:pPr>
    <w:rPr>
      <w:kern w:val="0"/>
      <w:szCs w:val="20"/>
    </w:rPr>
  </w:style>
  <w:style w:type="paragraph" w:styleId="a4">
    <w:name w:val="Body Text"/>
    <w:basedOn w:val="a"/>
    <w:next w:val="5"/>
    <w:qFormat/>
    <w:rsid w:val="0046592A"/>
    <w:pPr>
      <w:spacing w:after="120"/>
    </w:pPr>
  </w:style>
  <w:style w:type="paragraph" w:styleId="5">
    <w:name w:val="toc 5"/>
    <w:basedOn w:val="a"/>
    <w:next w:val="a"/>
    <w:qFormat/>
    <w:rsid w:val="0046592A"/>
    <w:pPr>
      <w:ind w:leftChars="800" w:left="1680"/>
    </w:pPr>
  </w:style>
  <w:style w:type="paragraph" w:styleId="a5">
    <w:name w:val="Balloon Text"/>
    <w:basedOn w:val="a"/>
    <w:link w:val="Char0"/>
    <w:qFormat/>
    <w:rsid w:val="0046592A"/>
    <w:rPr>
      <w:sz w:val="18"/>
      <w:szCs w:val="18"/>
    </w:rPr>
  </w:style>
  <w:style w:type="paragraph" w:styleId="a6">
    <w:name w:val="footer"/>
    <w:basedOn w:val="a"/>
    <w:link w:val="Char1"/>
    <w:uiPriority w:val="99"/>
    <w:qFormat/>
    <w:rsid w:val="0046592A"/>
    <w:pPr>
      <w:tabs>
        <w:tab w:val="center" w:pos="4153"/>
        <w:tab w:val="right" w:pos="8306"/>
      </w:tabs>
      <w:snapToGrid w:val="0"/>
      <w:jc w:val="left"/>
    </w:pPr>
    <w:rPr>
      <w:sz w:val="18"/>
    </w:rPr>
  </w:style>
  <w:style w:type="paragraph" w:styleId="a7">
    <w:name w:val="header"/>
    <w:basedOn w:val="a"/>
    <w:qFormat/>
    <w:rsid w:val="0046592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2"/>
    <w:qFormat/>
    <w:rsid w:val="0046592A"/>
    <w:pPr>
      <w:widowControl w:val="0"/>
    </w:pPr>
    <w:rPr>
      <w:b/>
      <w:bCs/>
      <w:kern w:val="2"/>
      <w:szCs w:val="24"/>
    </w:rPr>
  </w:style>
  <w:style w:type="paragraph" w:styleId="a9">
    <w:name w:val="Body Text First Indent"/>
    <w:basedOn w:val="a4"/>
    <w:next w:val="a"/>
    <w:qFormat/>
    <w:rsid w:val="0046592A"/>
    <w:pPr>
      <w:spacing w:after="0" w:line="360" w:lineRule="auto"/>
      <w:ind w:firstLine="425"/>
    </w:pPr>
    <w:rPr>
      <w:sz w:val="24"/>
    </w:rPr>
  </w:style>
  <w:style w:type="table" w:styleId="aa">
    <w:name w:val="Table Grid"/>
    <w:basedOn w:val="a1"/>
    <w:qFormat/>
    <w:rsid w:val="004659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sid w:val="0046592A"/>
    <w:rPr>
      <w:sz w:val="21"/>
      <w:szCs w:val="21"/>
    </w:rPr>
  </w:style>
  <w:style w:type="paragraph" w:styleId="ac">
    <w:name w:val="List Paragraph"/>
    <w:basedOn w:val="a"/>
    <w:uiPriority w:val="99"/>
    <w:unhideWhenUsed/>
    <w:qFormat/>
    <w:rsid w:val="0046592A"/>
    <w:pPr>
      <w:ind w:firstLineChars="200" w:firstLine="420"/>
    </w:pPr>
  </w:style>
  <w:style w:type="character" w:customStyle="1" w:styleId="Char">
    <w:name w:val="批注文字 Char"/>
    <w:basedOn w:val="a0"/>
    <w:link w:val="a3"/>
    <w:qFormat/>
    <w:rsid w:val="0046592A"/>
    <w:rPr>
      <w:rFonts w:asciiTheme="minorHAnsi" w:eastAsiaTheme="minorEastAsia" w:hAnsiTheme="minorHAnsi" w:cstheme="minorBidi"/>
      <w:sz w:val="21"/>
    </w:rPr>
  </w:style>
  <w:style w:type="character" w:customStyle="1" w:styleId="Char2">
    <w:name w:val="批注主题 Char"/>
    <w:basedOn w:val="Char"/>
    <w:link w:val="a8"/>
    <w:qFormat/>
    <w:rsid w:val="0046592A"/>
  </w:style>
  <w:style w:type="character" w:customStyle="1" w:styleId="Char0">
    <w:name w:val="批注框文本 Char"/>
    <w:basedOn w:val="a0"/>
    <w:link w:val="a5"/>
    <w:qFormat/>
    <w:rsid w:val="0046592A"/>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46592A"/>
    <w:rPr>
      <w:rFonts w:asciiTheme="minorHAnsi" w:eastAsiaTheme="minorEastAsia" w:hAnsiTheme="minorHAnsi" w:cstheme="minorBidi"/>
      <w:kern w:val="2"/>
      <w:sz w:val="21"/>
      <w:szCs w:val="24"/>
    </w:rPr>
  </w:style>
  <w:style w:type="character" w:customStyle="1" w:styleId="Char1">
    <w:name w:val="页脚 Char"/>
    <w:basedOn w:val="a0"/>
    <w:link w:val="a6"/>
    <w:uiPriority w:val="99"/>
    <w:qFormat/>
    <w:rsid w:val="0046592A"/>
    <w:rPr>
      <w:rFonts w:asciiTheme="minorHAnsi" w:eastAsiaTheme="minorEastAsia" w:hAnsiTheme="minorHAnsi" w:cstheme="minorBidi"/>
      <w:kern w:val="2"/>
      <w:sz w:val="18"/>
      <w:szCs w:val="24"/>
    </w:rPr>
  </w:style>
  <w:style w:type="character" w:customStyle="1" w:styleId="fontstyle01">
    <w:name w:val="fontstyle01"/>
    <w:basedOn w:val="a0"/>
    <w:qFormat/>
    <w:rsid w:val="0046592A"/>
    <w:rPr>
      <w:rFonts w:ascii="宋体" w:eastAsia="宋体" w:hAnsi="宋体" w:cs="宋体"/>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30931-4538-43B1-B46A-93BD7FDB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305</Words>
  <Characters>1743</Characters>
  <Application>Microsoft Office Word</Application>
  <DocSecurity>0</DocSecurity>
  <Lines>14</Lines>
  <Paragraphs>4</Paragraphs>
  <ScaleCrop>false</ScaleCrop>
  <Company>WwW.YlmF.CoM</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c:creator>
  <cp:lastModifiedBy>Windows 用户</cp:lastModifiedBy>
  <cp:revision>8</cp:revision>
  <cp:lastPrinted>2022-07-07T02:36:00Z</cp:lastPrinted>
  <dcterms:created xsi:type="dcterms:W3CDTF">2022-08-02T02:50:00Z</dcterms:created>
  <dcterms:modified xsi:type="dcterms:W3CDTF">2022-12-28T08:17:00Z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D174C2C98887460CB11414CA33FE832D</vt:lpwstr>
  </property>
</Properties>
</file>