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1"/>
      </w:pPr>
    </w:p>
    <w:p>
      <w:pPr>
        <w:tabs>
          <w:tab w:val="left" w:pos="420"/>
          <w:tab w:val="left" w:pos="6660"/>
        </w:tabs>
        <w:spacing w:line="360" w:lineRule="auto"/>
        <w:jc w:val="center"/>
        <w:rPr>
          <w:rFonts w:ascii="宋体" w:hAnsi="宋体" w:cs="宋体"/>
          <w:b/>
          <w:sz w:val="72"/>
          <w:szCs w:val="72"/>
        </w:rPr>
      </w:pPr>
      <w:r>
        <w:rPr>
          <w:rFonts w:hint="eastAsia" w:ascii="宋体" w:hAnsi="宋体" w:cs="宋体"/>
          <w:b/>
          <w:sz w:val="72"/>
          <w:szCs w:val="72"/>
        </w:rPr>
        <w:t>谈 判 文 件</w:t>
      </w:r>
    </w:p>
    <w:p>
      <w:pPr>
        <w:widowControl/>
        <w:spacing w:line="360" w:lineRule="auto"/>
        <w:jc w:val="cente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b/>
          <w:sz w:val="36"/>
          <w:szCs w:val="36"/>
        </w:rPr>
      </w:pPr>
    </w:p>
    <w:p>
      <w:pPr>
        <w:pStyle w:val="3"/>
        <w:rPr>
          <w:rFonts w:ascii="宋体" w:hAnsi="宋体" w:cs="宋体"/>
          <w:b/>
          <w:sz w:val="36"/>
          <w:szCs w:val="36"/>
        </w:rPr>
      </w:pPr>
    </w:p>
    <w:p>
      <w:pPr>
        <w:pStyle w:val="4"/>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eastAsia"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全自动药品单剂量</w:t>
      </w:r>
    </w:p>
    <w:p>
      <w:pPr>
        <w:shd w:val="clear" w:color="auto" w:fill="FFFFFF"/>
        <w:spacing w:line="360" w:lineRule="auto"/>
        <w:jc w:val="center"/>
        <w:textAlignment w:val="baseline"/>
        <w:rPr>
          <w:rFonts w:hint="default" w:ascii="宋体" w:hAnsi="宋体" w:cs="宋体"/>
          <w:b/>
          <w:bCs/>
          <w:sz w:val="36"/>
          <w:szCs w:val="36"/>
          <w:lang w:val="en-US" w:eastAsia="zh-CN"/>
        </w:rPr>
      </w:pPr>
      <w:r>
        <w:rPr>
          <w:rFonts w:hint="eastAsia" w:ascii="宋体" w:hAnsi="宋体" w:cs="宋体"/>
          <w:b/>
          <w:bCs/>
          <w:sz w:val="36"/>
          <w:szCs w:val="36"/>
          <w:lang w:val="en-US" w:eastAsia="zh-CN"/>
        </w:rPr>
        <w:t>分包机维保项目（第三次）</w:t>
      </w:r>
    </w:p>
    <w:p>
      <w:pPr>
        <w:widowControl/>
        <w:spacing w:line="360" w:lineRule="auto"/>
        <w:jc w:val="center"/>
        <w:rPr>
          <w:rFonts w:ascii="宋体" w:hAnsi="宋体" w:cs="宋体"/>
          <w:b/>
          <w:sz w:val="36"/>
          <w:szCs w:val="36"/>
        </w:rPr>
      </w:pPr>
    </w:p>
    <w:p>
      <w:pPr>
        <w:widowControl/>
        <w:spacing w:line="360" w:lineRule="auto"/>
        <w:jc w:val="center"/>
        <w:rPr>
          <w:rFonts w:ascii="宋体" w:hAnsi="宋体" w:cs="宋体"/>
          <w:b/>
          <w:sz w:val="36"/>
          <w:szCs w:val="36"/>
        </w:rPr>
      </w:pPr>
    </w:p>
    <w:p>
      <w:pPr>
        <w:widowControl/>
        <w:spacing w:line="360" w:lineRule="auto"/>
        <w:ind w:firstLine="420"/>
        <w:rPr>
          <w:rFonts w:ascii="宋体" w:hAnsi="宋体" w:cs="宋体"/>
          <w:b/>
          <w:bCs/>
          <w:sz w:val="36"/>
          <w:szCs w:val="36"/>
          <w:u w:val="single"/>
        </w:rPr>
      </w:pPr>
    </w:p>
    <w:p>
      <w:pPr>
        <w:pStyle w:val="3"/>
        <w:rPr>
          <w:rFonts w:ascii="宋体" w:hAnsi="宋体" w:cs="宋体"/>
          <w:b/>
          <w:bCs/>
          <w:sz w:val="36"/>
          <w:szCs w:val="36"/>
          <w:u w:val="single"/>
        </w:rPr>
      </w:pPr>
    </w:p>
    <w:p>
      <w:pPr>
        <w:pStyle w:val="4"/>
        <w:rPr>
          <w:rFonts w:ascii="宋体" w:hAnsi="宋体" w:cs="宋体"/>
          <w:sz w:val="36"/>
          <w:szCs w:val="36"/>
        </w:rPr>
      </w:pPr>
    </w:p>
    <w:p>
      <w:pPr>
        <w:spacing w:line="360" w:lineRule="auto"/>
        <w:rPr>
          <w:rFonts w:ascii="宋体" w:hAnsi="宋体" w:cs="宋体"/>
          <w:b/>
          <w:bCs/>
          <w:sz w:val="36"/>
          <w:szCs w:val="36"/>
        </w:rPr>
      </w:pPr>
    </w:p>
    <w:p>
      <w:pPr>
        <w:tabs>
          <w:tab w:val="left" w:pos="0"/>
          <w:tab w:val="left" w:pos="426"/>
        </w:tabs>
        <w:wordWrap w:val="0"/>
        <w:spacing w:line="360" w:lineRule="auto"/>
        <w:ind w:firstLine="723" w:firstLineChars="200"/>
        <w:jc w:val="center"/>
        <w:rPr>
          <w:rFonts w:ascii="宋体" w:hAnsi="宋体" w:cs="宋体"/>
          <w:b/>
          <w:sz w:val="36"/>
          <w:szCs w:val="36"/>
        </w:rPr>
      </w:pPr>
      <w:r>
        <w:rPr>
          <w:rFonts w:hint="eastAsia" w:ascii="宋体" w:hAnsi="宋体" w:cs="宋体"/>
          <w:b/>
          <w:bCs/>
          <w:sz w:val="36"/>
          <w:szCs w:val="36"/>
        </w:rPr>
        <w:t>2022年</w:t>
      </w:r>
      <w:r>
        <w:rPr>
          <w:rFonts w:hint="eastAsia" w:ascii="宋体" w:hAnsi="宋体" w:cs="宋体"/>
          <w:b/>
          <w:bCs/>
          <w:sz w:val="36"/>
          <w:szCs w:val="36"/>
          <w:lang w:val="en-US" w:eastAsia="zh-CN"/>
        </w:rPr>
        <w:t>12</w:t>
      </w:r>
      <w:r>
        <w:rPr>
          <w:rFonts w:hint="eastAsia" w:ascii="宋体" w:hAnsi="宋体" w:cs="宋体"/>
          <w:b/>
          <w:bCs/>
          <w:sz w:val="36"/>
          <w:szCs w:val="36"/>
        </w:rPr>
        <w:t>月</w:t>
      </w:r>
    </w:p>
    <w:p>
      <w:pPr>
        <w:spacing w:line="360" w:lineRule="auto"/>
        <w:rPr>
          <w:rFonts w:ascii="宋体" w:hAnsi="宋体" w:cs="宋体"/>
          <w:sz w:val="24"/>
        </w:rPr>
      </w:pPr>
    </w:p>
    <w:p>
      <w:pPr>
        <w:pStyle w:val="61"/>
        <w:ind w:left="0" w:leftChars="0" w:firstLine="0" w:firstLineChars="0"/>
      </w:pPr>
    </w:p>
    <w:sdt>
      <w:sdtPr>
        <w:rPr>
          <w:rFonts w:hint="eastAsia" w:ascii="宋体" w:hAnsi="宋体" w:eastAsia="黑体" w:cs="宋体"/>
          <w:b/>
          <w:bCs/>
          <w:spacing w:val="40"/>
          <w:kern w:val="0"/>
          <w:sz w:val="48"/>
          <w:szCs w:val="48"/>
          <w:u w:val="single"/>
        </w:rPr>
        <w:id w:val="147466740"/>
        <w:docPartObj>
          <w:docPartGallery w:val="Table of Contents"/>
          <w:docPartUnique/>
        </w:docPartObj>
      </w:sdtPr>
      <w:sdtEndPr>
        <w:rPr>
          <w:rFonts w:hint="eastAsia" w:ascii="宋体" w:hAnsi="宋体" w:eastAsia="黑体" w:cs="宋体"/>
          <w:b/>
          <w:bCs/>
          <w:spacing w:val="40"/>
          <w:kern w:val="0"/>
          <w:sz w:val="24"/>
          <w:szCs w:val="24"/>
          <w:u w:val="single"/>
        </w:rPr>
      </w:sdtEndPr>
      <w:sdtContent>
        <w:p>
          <w:pPr>
            <w:jc w:val="center"/>
            <w:rPr>
              <w:rFonts w:ascii="宋体" w:hAnsi="宋体" w:cs="宋体"/>
              <w:b/>
              <w:bCs/>
              <w:sz w:val="48"/>
              <w:szCs w:val="48"/>
            </w:rPr>
          </w:pPr>
          <w:r>
            <w:rPr>
              <w:rFonts w:hint="eastAsia" w:ascii="宋体" w:hAnsi="宋体" w:cs="宋体"/>
              <w:b/>
              <w:bCs/>
              <w:sz w:val="48"/>
              <w:szCs w:val="48"/>
            </w:rPr>
            <w:t>目录</w:t>
          </w: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rPr>
          </w:pPr>
        </w:p>
        <w:p>
          <w:pPr>
            <w:pStyle w:val="34"/>
            <w:tabs>
              <w:tab w:val="right" w:leader="dot" w:pos="10546"/>
              <w:tab w:val="clear" w:pos="9540"/>
            </w:tabs>
          </w:pPr>
          <w:r>
            <w:rPr>
              <w:rFonts w:hint="eastAsia" w:cs="宋体"/>
              <w:sz w:val="24"/>
              <w:szCs w:val="24"/>
            </w:rPr>
            <w:fldChar w:fldCharType="begin"/>
          </w:r>
          <w:r>
            <w:rPr>
              <w:rFonts w:hint="eastAsia" w:cs="宋体"/>
              <w:sz w:val="24"/>
              <w:szCs w:val="24"/>
            </w:rPr>
            <w:instrText xml:space="preserve">TOC \o "1-1" \h \u </w:instrText>
          </w:r>
          <w:r>
            <w:rPr>
              <w:rFonts w:hint="eastAsia" w:cs="宋体"/>
              <w:sz w:val="24"/>
              <w:szCs w:val="24"/>
            </w:rPr>
            <w:fldChar w:fldCharType="separate"/>
          </w:r>
          <w:r>
            <w:fldChar w:fldCharType="begin"/>
          </w:r>
          <w:r>
            <w:instrText xml:space="preserve"> HYPERLINK \l "_Toc24434" </w:instrText>
          </w:r>
          <w:r>
            <w:fldChar w:fldCharType="separate"/>
          </w:r>
          <w:r>
            <w:rPr>
              <w:rFonts w:hint="eastAsia"/>
            </w:rPr>
            <w:t>第一部分  谈判邀请函</w:t>
          </w:r>
          <w:r>
            <w:tab/>
          </w:r>
          <w:r>
            <w:fldChar w:fldCharType="begin"/>
          </w:r>
          <w:r>
            <w:instrText xml:space="preserve"> PAGEREF _Toc24434 \h </w:instrText>
          </w:r>
          <w:r>
            <w:fldChar w:fldCharType="separate"/>
          </w:r>
          <w:r>
            <w:t>3</w:t>
          </w:r>
          <w:r>
            <w:fldChar w:fldCharType="end"/>
          </w:r>
          <w:r>
            <w:fldChar w:fldCharType="end"/>
          </w:r>
        </w:p>
        <w:p>
          <w:pPr>
            <w:pStyle w:val="34"/>
            <w:tabs>
              <w:tab w:val="right" w:leader="dot" w:pos="10546"/>
              <w:tab w:val="clear" w:pos="9540"/>
            </w:tabs>
          </w:pPr>
          <w:r>
            <w:fldChar w:fldCharType="begin"/>
          </w:r>
          <w:r>
            <w:instrText xml:space="preserve"> HYPERLINK \l "_Toc12623" </w:instrText>
          </w:r>
          <w:r>
            <w:fldChar w:fldCharType="separate"/>
          </w:r>
          <w:r>
            <w:rPr>
              <w:rFonts w:hint="eastAsia"/>
            </w:rPr>
            <w:t>第二部分　采购需求书</w:t>
          </w:r>
          <w:r>
            <w:tab/>
          </w:r>
          <w:r>
            <w:fldChar w:fldCharType="begin"/>
          </w:r>
          <w:r>
            <w:instrText xml:space="preserve"> PAGEREF _Toc12623 \h </w:instrText>
          </w:r>
          <w:r>
            <w:fldChar w:fldCharType="separate"/>
          </w:r>
          <w:r>
            <w:t>6</w:t>
          </w:r>
          <w:r>
            <w:fldChar w:fldCharType="end"/>
          </w:r>
          <w:r>
            <w:fldChar w:fldCharType="end"/>
          </w:r>
        </w:p>
        <w:p>
          <w:pPr>
            <w:pStyle w:val="34"/>
            <w:tabs>
              <w:tab w:val="right" w:leader="dot" w:pos="10546"/>
              <w:tab w:val="clear" w:pos="9540"/>
            </w:tabs>
          </w:pPr>
          <w:r>
            <w:fldChar w:fldCharType="begin"/>
          </w:r>
          <w:r>
            <w:instrText xml:space="preserve"> HYPERLINK \l "_Toc32635" </w:instrText>
          </w:r>
          <w:r>
            <w:fldChar w:fldCharType="separate"/>
          </w:r>
          <w:r>
            <w:rPr>
              <w:rFonts w:hint="eastAsia"/>
            </w:rPr>
            <w:t>第三部分  评分标准</w:t>
          </w:r>
          <w:r>
            <w:tab/>
          </w:r>
          <w:r>
            <w:rPr>
              <w:rFonts w:hint="eastAsia"/>
            </w:rPr>
            <w:t>11</w:t>
          </w:r>
          <w:r>
            <w:rPr>
              <w:rFonts w:hint="eastAsia"/>
            </w:rPr>
            <w:fldChar w:fldCharType="end"/>
          </w:r>
        </w:p>
        <w:p>
          <w:pPr>
            <w:pStyle w:val="34"/>
            <w:tabs>
              <w:tab w:val="right" w:leader="dot" w:pos="10546"/>
              <w:tab w:val="clear" w:pos="9540"/>
            </w:tabs>
          </w:pPr>
          <w:r>
            <w:fldChar w:fldCharType="begin"/>
          </w:r>
          <w:r>
            <w:instrText xml:space="preserve"> HYPERLINK \l "_Toc26271" </w:instrText>
          </w:r>
          <w:r>
            <w:fldChar w:fldCharType="separate"/>
          </w:r>
          <w:r>
            <w:rPr>
              <w:rFonts w:hint="eastAsia"/>
            </w:rPr>
            <w:t>第四部分　报价文件格式</w:t>
          </w:r>
          <w:r>
            <w:tab/>
          </w:r>
          <w:r>
            <w:rPr>
              <w:rFonts w:hint="eastAsia"/>
            </w:rPr>
            <w:t>17</w:t>
          </w:r>
          <w:r>
            <w:rPr>
              <w:rFonts w:hint="eastAsia"/>
            </w:rPr>
            <w:fldChar w:fldCharType="end"/>
          </w:r>
        </w:p>
        <w:p>
          <w:pPr>
            <w:pStyle w:val="38"/>
            <w:tabs>
              <w:tab w:val="left" w:pos="8163"/>
            </w:tabs>
            <w:rPr>
              <w:rFonts w:ascii="宋体" w:hAnsi="宋体" w:eastAsia="宋体" w:cs="宋体"/>
              <w:sz w:val="24"/>
              <w:szCs w:val="24"/>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szCs w:val="24"/>
            </w:rPr>
            <w:fldChar w:fldCharType="end"/>
          </w:r>
        </w:p>
      </w:sdtContent>
    </w:sdt>
    <w:p>
      <w:pPr>
        <w:spacing w:line="360" w:lineRule="auto"/>
        <w:rPr>
          <w:rFonts w:ascii="宋体" w:hAnsi="宋体" w:cs="宋体"/>
          <w:sz w:val="24"/>
        </w:rPr>
      </w:pPr>
    </w:p>
    <w:p>
      <w:pPr>
        <w:spacing w:line="360" w:lineRule="auto"/>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sz w:val="24"/>
        </w:rPr>
      </w:pPr>
    </w:p>
    <w:p>
      <w:pPr>
        <w:pStyle w:val="3"/>
        <w:rPr>
          <w:rFonts w:ascii="宋体" w:hAnsi="宋体" w:cs="宋体"/>
          <w:sz w:val="24"/>
          <w:szCs w:val="24"/>
        </w:rPr>
      </w:pPr>
    </w:p>
    <w:p>
      <w:pPr>
        <w:pStyle w:val="4"/>
        <w:rPr>
          <w:rFonts w:ascii="宋体" w:hAnsi="宋体" w:cs="宋体"/>
          <w:sz w:val="24"/>
          <w:szCs w:val="24"/>
        </w:rPr>
      </w:pPr>
    </w:p>
    <w:p>
      <w:pPr>
        <w:rPr>
          <w:rFonts w:ascii="宋体" w:hAnsi="宋体" w:cs="宋体"/>
        </w:rPr>
      </w:pPr>
    </w:p>
    <w:p>
      <w:pPr>
        <w:spacing w:line="360" w:lineRule="auto"/>
        <w:jc w:val="center"/>
        <w:rPr>
          <w:rFonts w:ascii="宋体" w:hAnsi="宋体" w:cs="宋体"/>
          <w:sz w:val="24"/>
        </w:rPr>
      </w:pPr>
    </w:p>
    <w:p>
      <w:pPr>
        <w:pStyle w:val="5"/>
        <w:jc w:val="center"/>
      </w:pPr>
      <w:bookmarkStart w:id="0" w:name="_Toc26272340"/>
      <w:bookmarkStart w:id="1" w:name="_Toc24434"/>
      <w:r>
        <w:rPr>
          <w:rFonts w:hint="eastAsia"/>
        </w:rPr>
        <w:t xml:space="preserve">第一部分  </w:t>
      </w:r>
      <w:bookmarkEnd w:id="0"/>
      <w:r>
        <w:rPr>
          <w:rFonts w:hint="eastAsia"/>
        </w:rPr>
        <w:t>谈判邀请函</w:t>
      </w:r>
      <w:bookmarkEnd w:id="1"/>
    </w:p>
    <w:p>
      <w:pPr>
        <w:spacing w:line="360" w:lineRule="auto"/>
        <w:rPr>
          <w:rFonts w:ascii="宋体" w:hAnsi="宋体" w:cs="宋体"/>
          <w:kern w:val="0"/>
          <w:sz w:val="24"/>
        </w:rPr>
      </w:pPr>
    </w:p>
    <w:p>
      <w:pPr>
        <w:adjustRightInd w:val="0"/>
        <w:snapToGrid w:val="0"/>
        <w:spacing w:line="360" w:lineRule="auto"/>
        <w:jc w:val="center"/>
        <w:rPr>
          <w:rFonts w:ascii="宋体" w:hAnsi="宋体" w:cs="宋体"/>
          <w:b/>
          <w:kern w:val="28"/>
          <w:sz w:val="24"/>
        </w:rPr>
      </w:pPr>
      <w:r>
        <w:rPr>
          <w:rFonts w:hint="eastAsia" w:ascii="宋体" w:hAnsi="宋体" w:cs="宋体"/>
          <w:b/>
          <w:kern w:val="28"/>
          <w:sz w:val="24"/>
        </w:rPr>
        <w:br w:type="page"/>
      </w:r>
    </w:p>
    <w:p>
      <w:pPr>
        <w:adjustRightInd w:val="0"/>
        <w:snapToGrid w:val="0"/>
        <w:spacing w:line="360" w:lineRule="auto"/>
        <w:jc w:val="center"/>
        <w:rPr>
          <w:rFonts w:hint="eastAsia" w:ascii="宋体" w:hAnsi="宋体" w:eastAsia="宋体" w:cs="宋体"/>
          <w:b/>
          <w:kern w:val="28"/>
          <w:sz w:val="27"/>
          <w:szCs w:val="27"/>
        </w:rPr>
      </w:pPr>
      <w:r>
        <w:rPr>
          <w:rFonts w:hint="eastAsia" w:ascii="宋体" w:hAnsi="宋体" w:eastAsia="宋体" w:cs="宋体"/>
          <w:b/>
          <w:kern w:val="28"/>
          <w:sz w:val="27"/>
          <w:szCs w:val="27"/>
          <w:lang w:val="en-US" w:eastAsia="zh-CN"/>
        </w:rPr>
        <w:t xml:space="preserve">第一部分 </w:t>
      </w:r>
      <w:r>
        <w:rPr>
          <w:rFonts w:hint="eastAsia" w:ascii="宋体" w:hAnsi="宋体" w:eastAsia="宋体" w:cs="宋体"/>
          <w:b/>
          <w:kern w:val="28"/>
          <w:sz w:val="27"/>
          <w:szCs w:val="27"/>
        </w:rPr>
        <w:t>中山市小榄人民医院</w:t>
      </w:r>
      <w:r>
        <w:rPr>
          <w:rFonts w:hint="eastAsia" w:ascii="宋体" w:hAnsi="宋体" w:eastAsia="宋体" w:cs="宋体"/>
          <w:b/>
          <w:kern w:val="28"/>
          <w:sz w:val="27"/>
          <w:szCs w:val="27"/>
          <w:lang w:val="en-US" w:eastAsia="zh-CN"/>
        </w:rPr>
        <w:t>院内谈判项目谈判邀请函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仿宋_GB2312" w:hAnsi="仿宋_GB2312" w:eastAsia="仿宋_GB2312" w:cs="仿宋_GB2312"/>
          <w:kern w:val="2"/>
          <w:sz w:val="28"/>
          <w:szCs w:val="28"/>
          <w:lang w:val="en-US" w:eastAsia="zh-CN" w:bidi="ar-SA"/>
        </w:rPr>
        <w:t>1.项目名称：中山市小榄人民医院全自动药品单剂量分包机维保项目（第三次）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2.采购方式：院内谈判（合理最低价）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3.采购需求：</w:t>
      </w:r>
    </w:p>
    <w:tbl>
      <w:tblPr>
        <w:tblStyle w:val="51"/>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00"/>
        <w:gridCol w:w="3730"/>
        <w:gridCol w:w="1087"/>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jc w:val="center"/>
        </w:trPr>
        <w:tc>
          <w:tcPr>
            <w:tcW w:w="120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3730"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标的名称</w:t>
            </w:r>
          </w:p>
        </w:tc>
        <w:tc>
          <w:tcPr>
            <w:tcW w:w="1087"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服务年限</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简要技术或服务要求</w:t>
            </w:r>
          </w:p>
        </w:tc>
        <w:tc>
          <w:tcPr>
            <w:tcW w:w="2132" w:type="dxa"/>
            <w:shd w:val="clear" w:color="auto" w:fill="F2F2F2"/>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2" w:hRule="atLeast"/>
          <w:jc w:val="center"/>
        </w:trPr>
        <w:tc>
          <w:tcPr>
            <w:tcW w:w="120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3730"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中山市小榄人民医院全自动药品单剂量分包机维保项目</w:t>
            </w:r>
          </w:p>
        </w:tc>
        <w:tc>
          <w:tcPr>
            <w:tcW w:w="1087"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3年</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详见用户需求</w:t>
            </w:r>
          </w:p>
        </w:tc>
        <w:tc>
          <w:tcPr>
            <w:tcW w:w="2132" w:type="dxa"/>
            <w:shd w:val="clear" w:color="auto" w:fill="FFFFFF"/>
            <w:noWrap/>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150000元</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1.响应供应商应具备《政府采购法》第二十二条规定的条件。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2.响应供应商须是在中华人民共和国境内注册的法人或其他组织，并独立于采购人和采购代理机构。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3.维护保养工作人员须持有原厂资质证书或相关技术的上岗证。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lang w:val="en-US" w:eastAsia="zh-CN"/>
        </w:rPr>
      </w:pPr>
      <w:r>
        <w:rPr>
          <w:rFonts w:hint="eastAsia" w:ascii="仿宋_GB2312" w:hAnsi="仿宋_GB2312" w:eastAsia="仿宋_GB2312" w:cs="仿宋_GB2312"/>
          <w:kern w:val="2"/>
          <w:sz w:val="28"/>
          <w:szCs w:val="28"/>
          <w:lang w:val="en-US" w:eastAsia="zh-CN" w:bidi="ar-SA"/>
        </w:rPr>
        <w:t>4.本项目不接受联合体形式报价。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递交响应文件截止时间、递交方式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递交响应文件截止时间：</w:t>
      </w:r>
      <w:r>
        <w:rPr>
          <w:rFonts w:hint="eastAsia" w:ascii="仿宋_GB2312" w:hAnsi="仿宋_GB2312" w:eastAsia="仿宋_GB2312" w:cs="仿宋_GB2312"/>
          <w:kern w:val="2"/>
          <w:sz w:val="28"/>
          <w:szCs w:val="28"/>
          <w:u w:val="single"/>
          <w:lang w:val="en-US" w:eastAsia="zh-CN" w:bidi="ar-SA"/>
        </w:rPr>
        <w:t>2022</w:t>
      </w:r>
      <w:r>
        <w:rPr>
          <w:rFonts w:hint="eastAsia" w:ascii="仿宋_GB2312" w:hAnsi="仿宋_GB2312" w:eastAsia="仿宋_GB2312" w:cs="仿宋_GB2312"/>
          <w:kern w:val="2"/>
          <w:sz w:val="28"/>
          <w:szCs w:val="28"/>
          <w:lang w:val="en-US" w:eastAsia="zh-CN" w:bidi="ar-SA"/>
        </w:rPr>
        <w:t>年</w:t>
      </w:r>
      <w:r>
        <w:rPr>
          <w:rFonts w:hint="eastAsia" w:ascii="仿宋_GB2312" w:hAnsi="仿宋_GB2312" w:eastAsia="仿宋_GB2312" w:cs="仿宋_GB2312"/>
          <w:kern w:val="2"/>
          <w:sz w:val="28"/>
          <w:szCs w:val="28"/>
          <w:u w:val="single"/>
          <w:lang w:val="en-US" w:eastAsia="zh-CN" w:bidi="ar-SA"/>
        </w:rPr>
        <w:t>12</w:t>
      </w:r>
      <w:r>
        <w:rPr>
          <w:rFonts w:hint="eastAsia" w:ascii="仿宋_GB2312" w:hAnsi="仿宋_GB2312" w:eastAsia="仿宋_GB2312" w:cs="仿宋_GB2312"/>
          <w:kern w:val="2"/>
          <w:sz w:val="28"/>
          <w:szCs w:val="28"/>
          <w:lang w:val="en-US" w:eastAsia="zh-CN" w:bidi="ar-SA"/>
        </w:rPr>
        <w:t xml:space="preserve"> 月</w:t>
      </w:r>
      <w:r>
        <w:rPr>
          <w:rFonts w:hint="eastAsia" w:ascii="仿宋_GB2312" w:hAnsi="仿宋_GB2312" w:eastAsia="仿宋_GB2312" w:cs="仿宋_GB2312"/>
          <w:kern w:val="2"/>
          <w:sz w:val="28"/>
          <w:szCs w:val="28"/>
          <w:u w:val="single"/>
          <w:lang w:val="en-US" w:eastAsia="zh-CN" w:bidi="ar-SA"/>
        </w:rPr>
        <w:t>19</w:t>
      </w:r>
      <w:r>
        <w:rPr>
          <w:rFonts w:hint="eastAsia" w:ascii="仿宋_GB2312" w:hAnsi="仿宋_GB2312" w:eastAsia="仿宋_GB2312" w:cs="仿宋_GB2312"/>
          <w:kern w:val="2"/>
          <w:sz w:val="28"/>
          <w:szCs w:val="28"/>
          <w:lang w:val="en-US" w:eastAsia="zh-CN" w:bidi="ar-SA"/>
        </w:rPr>
        <w:t>日17:00（北京时间）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响应文件递交方式（</w:t>
      </w:r>
      <w:r>
        <w:rPr>
          <w:rFonts w:hint="eastAsia" w:ascii="仿宋_GB2312" w:hAnsi="仿宋_GB2312" w:eastAsia="仿宋_GB2312" w:cs="仿宋_GB2312"/>
          <w:b/>
          <w:bCs/>
          <w:kern w:val="2"/>
          <w:sz w:val="28"/>
          <w:szCs w:val="28"/>
          <w:lang w:val="en-US" w:eastAsia="zh-CN" w:bidi="ar-SA"/>
        </w:rPr>
        <w:t>方式①和方式②缺一不可</w:t>
      </w:r>
      <w:r>
        <w:rPr>
          <w:rFonts w:hint="eastAsia" w:ascii="仿宋_GB2312" w:hAns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①电子邮件：yxzb8420@126.com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②文件邮寄：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收件人：孙小姐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收件电话：0760-88662120-8420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收件地址：中山市小榄镇菊城大道中65号（小榄人民医院采购部）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公告期限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自本公告发布之日起五个工作日。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响应文件要求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请各供应商按照以下要求提供完整的响应文件（</w:t>
      </w:r>
      <w:r>
        <w:rPr>
          <w:rFonts w:hint="eastAsia" w:ascii="仿宋_GB2312" w:hAnsi="仿宋_GB2312" w:eastAsia="仿宋_GB2312" w:cs="仿宋_GB2312"/>
          <w:b/>
          <w:bCs/>
          <w:kern w:val="2"/>
          <w:sz w:val="28"/>
          <w:szCs w:val="28"/>
          <w:lang w:val="en-US" w:eastAsia="zh-CN" w:bidi="ar-SA"/>
        </w:rPr>
        <w:t>一式六份，一正五副</w:t>
      </w:r>
      <w:r>
        <w:rPr>
          <w:rFonts w:hint="eastAsia" w:ascii="仿宋_GB2312" w:hAnsi="仿宋_GB2312" w:eastAsia="仿宋_GB2312" w:cs="仿宋_GB2312"/>
          <w:kern w:val="2"/>
          <w:sz w:val="28"/>
          <w:szCs w:val="28"/>
          <w:lang w:val="en-US" w:eastAsia="zh-CN" w:bidi="ar-SA"/>
        </w:rPr>
        <w:t>），供采购人进行预审核：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1.报价文件（详见第四部分）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以上文件均需盖公章。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预审通过后，采购人以电子邮件方式通知供应商进入下一阶段流程。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其他补充事宜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如纸质资料与电子资料存在不一致，以纸质盖章资料为准。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本项目不接受联合体响应。</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递交响应文件截止前，需提供完整的响应文件供采购人预审，资料不全或不通过者，报名无效。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监督部门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联系人：曾老师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联系电话：0760-88662120-1621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地 址：中山市小榄镇菊城大道中65号内科大楼九楼纪委监察室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中山市小榄人民医院</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2022</w:t>
      </w:r>
      <w:r>
        <w:rPr>
          <w:rFonts w:hint="eastAsia" w:ascii="仿宋_GB2312" w:hAnsi="仿宋_GB2312" w:eastAsia="仿宋_GB2312" w:cs="仿宋_GB2312"/>
          <w:b w:val="0"/>
          <w:bCs/>
          <w:color w:val="000000" w:themeColor="text1"/>
          <w:sz w:val="28"/>
          <w:szCs w:val="28"/>
          <w14:textFill>
            <w14:solidFill>
              <w14:schemeClr w14:val="tx1"/>
            </w14:solidFill>
          </w14:textFill>
        </w:rPr>
        <w:t>年</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b w:val="0"/>
          <w:bCs/>
          <w:color w:val="000000" w:themeColor="text1"/>
          <w:sz w:val="28"/>
          <w:szCs w:val="28"/>
          <w14:textFill>
            <w14:solidFill>
              <w14:schemeClr w14:val="tx1"/>
            </w14:solidFill>
          </w14:textFill>
        </w:rPr>
        <w:t>月</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b w:val="0"/>
          <w:bCs/>
          <w:color w:val="000000" w:themeColor="text1"/>
          <w:sz w:val="28"/>
          <w:szCs w:val="28"/>
          <w14:textFill>
            <w14:solidFill>
              <w14:schemeClr w14:val="tx1"/>
            </w14:solidFill>
          </w14:textFill>
        </w:rPr>
        <w:t>日</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pStyle w:val="47"/>
        <w:shd w:val="clear" w:color="auto" w:fill="FFFFFF"/>
        <w:snapToGrid w:val="0"/>
        <w:spacing w:beforeAutospacing="0" w:afterAutospacing="0" w:line="360" w:lineRule="auto"/>
        <w:jc w:val="left"/>
        <w:textAlignment w:val="baseline"/>
        <w:rPr>
          <w:rFonts w:cs="宋体"/>
          <w:color w:val="auto"/>
        </w:rPr>
      </w:pPr>
      <w:r>
        <w:rPr>
          <w:rFonts w:hint="eastAsia" w:ascii="仿宋_GB2312" w:hAnsi="仿宋_GB2312" w:eastAsia="仿宋_GB2312" w:cs="仿宋_GB2312"/>
          <w:kern w:val="2"/>
          <w:sz w:val="28"/>
          <w:szCs w:val="28"/>
          <w:lang w:val="en-US" w:eastAsia="zh-CN" w:bidi="ar-SA"/>
        </w:rPr>
        <w:t>附件：谈判文件</w:t>
      </w:r>
      <w:r>
        <w:rPr>
          <w:rFonts w:hint="eastAsia" w:cs="宋体"/>
          <w:color w:val="auto"/>
        </w:rPr>
        <w:br w:type="page"/>
      </w:r>
    </w:p>
    <w:p>
      <w:pPr>
        <w:spacing w:line="360" w:lineRule="auto"/>
        <w:jc w:val="center"/>
        <w:rPr>
          <w:rFonts w:ascii="宋体" w:hAnsi="宋体" w:cs="宋体"/>
          <w:sz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pStyle w:val="61"/>
        <w:ind w:firstLine="480"/>
        <w:rPr>
          <w:rFonts w:ascii="宋体" w:hAnsi="宋体" w:cs="宋体"/>
          <w:sz w:val="24"/>
          <w:szCs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5"/>
        <w:jc w:val="center"/>
      </w:pPr>
      <w:bookmarkStart w:id="2" w:name="_Toc26272341"/>
      <w:bookmarkStart w:id="3" w:name="_Toc12623"/>
      <w:r>
        <w:rPr>
          <w:rFonts w:hint="eastAsia"/>
        </w:rPr>
        <w:t>第二部分　</w:t>
      </w:r>
      <w:bookmarkEnd w:id="2"/>
      <w:r>
        <w:rPr>
          <w:rFonts w:hint="eastAsia"/>
        </w:rPr>
        <w:t>采购需求书</w:t>
      </w:r>
      <w:bookmarkEnd w:id="3"/>
    </w:p>
    <w:p>
      <w:pPr>
        <w:pStyle w:val="26"/>
        <w:adjustRightInd w:val="0"/>
        <w:snapToGrid w:val="0"/>
        <w:spacing w:line="360" w:lineRule="auto"/>
        <w:jc w:val="center"/>
        <w:rPr>
          <w:rFonts w:hAnsi="宋体" w:cs="宋体"/>
          <w:b/>
          <w:sz w:val="24"/>
          <w:szCs w:val="24"/>
        </w:rPr>
      </w:pPr>
    </w:p>
    <w:p>
      <w:pPr>
        <w:rPr>
          <w:rFonts w:ascii="宋体" w:hAnsi="宋体" w:cs="宋体"/>
          <w:b/>
          <w:sz w:val="24"/>
          <w:lang w:val="zh-CN"/>
        </w:rPr>
      </w:pPr>
      <w:r>
        <w:rPr>
          <w:rFonts w:hint="eastAsia" w:ascii="宋体" w:hAnsi="宋体" w:cs="宋体"/>
          <w:b/>
          <w:sz w:val="24"/>
          <w:lang w:val="zh-CN"/>
        </w:rPr>
        <w:br w:type="page"/>
      </w:r>
    </w:p>
    <w:p>
      <w:pPr>
        <w:spacing w:line="50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采购需求书</w:t>
      </w:r>
    </w:p>
    <w:p>
      <w:pPr>
        <w:pStyle w:val="61"/>
        <w:ind w:firstLine="482"/>
        <w:rPr>
          <w:rFonts w:asciiTheme="minorEastAsia" w:hAnsiTheme="minorEastAsia"/>
          <w:b/>
          <w:sz w:val="24"/>
          <w:szCs w:val="24"/>
        </w:rPr>
      </w:pPr>
    </w:p>
    <w:p>
      <w:pPr>
        <w:tabs>
          <w:tab w:val="left" w:pos="584"/>
          <w:tab w:val="left" w:pos="616"/>
        </w:tabs>
        <w:spacing w:before="62" w:beforeLines="20" w:line="360" w:lineRule="exact"/>
        <w:rPr>
          <w:rFonts w:ascii="宋体" w:hAnsi="宋体"/>
          <w:b/>
        </w:rPr>
      </w:pPr>
      <w:r>
        <w:rPr>
          <w:rFonts w:hint="eastAsia" w:ascii="宋体" w:hAnsi="宋体"/>
          <w:b/>
        </w:rPr>
        <w:t>一、项目概况</w:t>
      </w:r>
    </w:p>
    <w:p>
      <w:pPr>
        <w:spacing w:line="360" w:lineRule="auto"/>
        <w:rPr>
          <w:rFonts w:hint="eastAsia" w:ascii="宋体" w:hAnsi="宋体" w:eastAsia="宋体"/>
          <w:lang w:eastAsia="zh-CN"/>
        </w:rPr>
      </w:pPr>
      <w:r>
        <w:rPr>
          <w:rFonts w:hint="eastAsia" w:ascii="宋体" w:hAnsi="宋体"/>
        </w:rPr>
        <w:t>1.项目名称：中山市小榄人民医院全自动药品单剂量分包机维保项目</w:t>
      </w:r>
      <w:r>
        <w:rPr>
          <w:rFonts w:hint="eastAsia" w:ascii="宋体" w:hAnsi="宋体"/>
          <w:lang w:eastAsia="zh-CN"/>
        </w:rPr>
        <w:t>（</w:t>
      </w:r>
      <w:r>
        <w:rPr>
          <w:rFonts w:hint="eastAsia" w:ascii="宋体" w:hAnsi="宋体"/>
          <w:lang w:val="en-US" w:eastAsia="zh-CN"/>
        </w:rPr>
        <w:t>第三次</w:t>
      </w:r>
      <w:r>
        <w:rPr>
          <w:rFonts w:hint="eastAsia" w:ascii="宋体" w:hAnsi="宋体"/>
          <w:lang w:eastAsia="zh-CN"/>
        </w:rPr>
        <w:t>）</w:t>
      </w:r>
    </w:p>
    <w:p>
      <w:pPr>
        <w:spacing w:line="360" w:lineRule="auto"/>
        <w:rPr>
          <w:rFonts w:hint="eastAsia" w:ascii="宋体" w:hAnsi="宋体"/>
        </w:rPr>
      </w:pPr>
      <w:r>
        <w:rPr>
          <w:rFonts w:hint="eastAsia" w:ascii="宋体" w:hAnsi="宋体"/>
        </w:rPr>
        <w:t>2.项目地点：中山市小榄人民医院内</w:t>
      </w:r>
    </w:p>
    <w:p>
      <w:pPr>
        <w:pStyle w:val="61"/>
        <w:ind w:firstLine="0" w:firstLineChars="0"/>
        <w:rPr>
          <w:rFonts w:ascii="宋体" w:hAnsi="宋体"/>
          <w:b/>
        </w:rPr>
      </w:pPr>
      <w:r>
        <w:rPr>
          <w:rFonts w:hint="eastAsia" w:ascii="宋体" w:hAnsi="宋体"/>
        </w:rPr>
        <w:t>二、</w:t>
      </w:r>
      <w:r>
        <w:rPr>
          <w:rFonts w:hint="eastAsia" w:ascii="宋体" w:hAnsi="宋体"/>
          <w:b/>
        </w:rPr>
        <w:t>响应供应商资质要求</w:t>
      </w:r>
    </w:p>
    <w:p>
      <w:pPr>
        <w:spacing w:before="62" w:beforeLines="20" w:line="480" w:lineRule="exact"/>
        <w:rPr>
          <w:rFonts w:ascii="宋体" w:hAnsi="宋体" w:cs="Times New Roman"/>
          <w:b/>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p>
      <w:pPr>
        <w:widowControl/>
        <w:tabs>
          <w:tab w:val="left" w:pos="851"/>
        </w:tabs>
        <w:spacing w:line="360" w:lineRule="auto"/>
        <w:jc w:val="left"/>
        <w:rPr>
          <w:rFonts w:hint="eastAsia" w:ascii="宋体" w:hAnsi="宋体"/>
          <w:color w:val="000000"/>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p>
      <w:pPr>
        <w:widowControl/>
        <w:tabs>
          <w:tab w:val="left" w:pos="851"/>
        </w:tabs>
        <w:spacing w:line="360" w:lineRule="auto"/>
        <w:jc w:val="left"/>
        <w:rPr>
          <w:rFonts w:hint="eastAsia" w:ascii="宋体" w:hAnsi="宋体"/>
          <w:color w:val="000000"/>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p>
      <w:pPr>
        <w:widowControl/>
        <w:tabs>
          <w:tab w:val="left" w:pos="851"/>
        </w:tabs>
        <w:spacing w:line="360" w:lineRule="auto"/>
        <w:jc w:val="left"/>
        <w:rPr>
          <w:rFonts w:hint="eastAsia" w:ascii="宋体" w:hAnsi="宋体"/>
          <w:color w:val="000000"/>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p>
      <w:pPr>
        <w:widowControl/>
        <w:tabs>
          <w:tab w:val="left" w:pos="851"/>
        </w:tabs>
        <w:spacing w:line="360" w:lineRule="auto"/>
        <w:jc w:val="left"/>
        <w:rPr>
          <w:color w:val="000000"/>
        </w:rPr>
      </w:pPr>
      <w:r>
        <w:rPr>
          <w:rFonts w:hint="eastAsia" w:ascii="宋体" w:hAnsi="宋体"/>
          <w:color w:val="000000"/>
        </w:rPr>
        <w:t>1.4本项目不接受联合体形式报价。</w:t>
      </w:r>
    </w:p>
    <w:p>
      <w:pPr>
        <w:pStyle w:val="61"/>
        <w:spacing w:line="400" w:lineRule="exact"/>
        <w:ind w:firstLine="0" w:firstLineChars="0"/>
        <w:rPr>
          <w:rFonts w:ascii="宋体" w:hAnsi="宋体"/>
          <w:b/>
        </w:rPr>
      </w:pPr>
      <w:r>
        <w:rPr>
          <w:rFonts w:hint="eastAsia" w:ascii="宋体" w:hAnsi="宋体"/>
          <w:b/>
        </w:rPr>
        <w:t>三、项目预算：</w:t>
      </w:r>
      <w:r>
        <w:rPr>
          <w:rFonts w:hint="eastAsia" w:ascii="宋体" w:hAnsi="宋体"/>
        </w:rPr>
        <w:t>15万</w:t>
      </w:r>
    </w:p>
    <w:p>
      <w:pPr>
        <w:pStyle w:val="61"/>
        <w:spacing w:line="400" w:lineRule="exact"/>
        <w:ind w:firstLine="0" w:firstLineChars="0"/>
        <w:rPr>
          <w:rFonts w:ascii="宋体" w:hAnsi="宋体" w:cs="Times New Roman"/>
          <w:b/>
        </w:rPr>
      </w:pPr>
      <w:r>
        <w:rPr>
          <w:rFonts w:hint="eastAsia" w:ascii="宋体" w:hAnsi="宋体" w:cs="Times New Roman"/>
          <w:b/>
        </w:rPr>
        <w:t>四、服务期限：</w:t>
      </w:r>
      <w:r>
        <w:rPr>
          <w:rFonts w:hint="eastAsia" w:ascii="宋体" w:hAnsi="宋体" w:cs="Times New Roman"/>
        </w:rPr>
        <w:t>三年</w:t>
      </w:r>
    </w:p>
    <w:p>
      <w:pPr>
        <w:spacing w:line="360" w:lineRule="auto"/>
        <w:rPr>
          <w:rFonts w:hint="eastAsia" w:ascii="宋体" w:hAnsi="宋体"/>
          <w:b/>
        </w:rPr>
      </w:pPr>
      <w:r>
        <w:rPr>
          <w:rFonts w:hint="eastAsia" w:ascii="宋体" w:hAnsi="宋体"/>
          <w:b/>
        </w:rPr>
        <w:t>五、项目服务范围及要求：</w:t>
      </w:r>
    </w:p>
    <w:p>
      <w:pPr>
        <w:spacing w:line="360" w:lineRule="auto"/>
        <w:rPr>
          <w:rFonts w:ascii="宋体" w:hAnsi="宋体"/>
          <w:b/>
        </w:rPr>
      </w:pPr>
      <w:r>
        <w:rPr>
          <w:rFonts w:hint="eastAsia" w:ascii="宋体" w:hAnsi="宋体"/>
          <w:b/>
        </w:rPr>
        <w:t>★1、本项目服务范围：</w:t>
      </w:r>
    </w:p>
    <w:p>
      <w:pPr>
        <w:spacing w:line="360" w:lineRule="auto"/>
        <w:rPr>
          <w:rFonts w:hint="eastAsia" w:ascii="宋体" w:hAnsi="宋体"/>
          <w:highlight w:val="none"/>
        </w:rPr>
      </w:pPr>
      <w:r>
        <w:rPr>
          <w:rFonts w:hint="eastAsia" w:ascii="宋体" w:hAnsi="宋体"/>
          <w:highlight w:val="none"/>
        </w:rPr>
        <w:t>全自动药品单剂量分包机整机维修保养。</w:t>
      </w:r>
    </w:p>
    <w:p>
      <w:pPr>
        <w:spacing w:line="360" w:lineRule="auto"/>
        <w:rPr>
          <w:rFonts w:hint="eastAsia" w:ascii="宋体" w:hAnsi="宋体"/>
          <w:b/>
        </w:rPr>
      </w:pPr>
      <w:r>
        <w:rPr>
          <w:rFonts w:hint="eastAsia" w:ascii="宋体" w:hAnsi="宋体"/>
          <w:b/>
        </w:rPr>
        <w:t>2、本项目服务内容：</w:t>
      </w:r>
    </w:p>
    <w:p>
      <w:pPr>
        <w:spacing w:line="360" w:lineRule="auto"/>
        <w:rPr>
          <w:rFonts w:hint="eastAsia" w:ascii="宋体" w:hAnsi="宋体"/>
        </w:rPr>
      </w:pPr>
      <w:r>
        <w:rPr>
          <w:rFonts w:hint="eastAsia" w:ascii="宋体" w:hAnsi="宋体"/>
        </w:rPr>
        <w:t>2.1本项目所涉及需要更换的材料及配件均由成交供应商负责。</w:t>
      </w:r>
    </w:p>
    <w:p>
      <w:pPr>
        <w:spacing w:line="360" w:lineRule="auto"/>
        <w:rPr>
          <w:rFonts w:hint="eastAsia" w:ascii="宋体" w:hAnsi="宋体"/>
          <w:highlight w:val="none"/>
        </w:rPr>
      </w:pPr>
      <w:r>
        <w:rPr>
          <w:rFonts w:hint="eastAsia" w:ascii="宋体" w:hAnsi="宋体"/>
          <w:highlight w:val="none"/>
        </w:rPr>
        <w:t>★2.2本项目全自动药品单剂量分包机服务内容如下（但不限于以下内容）：</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49" w:type="dxa"/>
            <w:vMerge w:val="restart"/>
            <w:tcBorders>
              <w:top w:val="single" w:color="auto" w:sz="4" w:space="0"/>
            </w:tcBorders>
            <w:shd w:val="clear" w:color="000000" w:fill="FFFFFF"/>
            <w:noWrap/>
            <w:textDirection w:val="tbRlV"/>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shd w:val="clear" w:color="000000" w:fill="FFFFFF"/>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restart"/>
            <w:tcBorders>
              <w:top w:val="single" w:color="auto" w:sz="4" w:space="0"/>
            </w:tcBorders>
            <w:noWrap w:val="0"/>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6448" w:type="dxa"/>
            <w:vMerge w:val="restart"/>
            <w:tcBorders>
              <w:top w:val="single" w:color="auto" w:sz="4" w:space="0"/>
            </w:tcBorders>
            <w:noWrap/>
            <w:vAlign w:val="center"/>
          </w:tcPr>
          <w:p>
            <w:pPr>
              <w:widowControl/>
              <w:jc w:val="center"/>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49"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c>
          <w:tcPr>
            <w:tcW w:w="6448" w:type="dxa"/>
            <w:vMerge w:val="continue"/>
            <w:noWrap w:val="0"/>
            <w:vAlign w:val="center"/>
          </w:tcPr>
          <w:p>
            <w:pPr>
              <w:widowControl/>
              <w:jc w:val="left"/>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7" w:type="dxa"/>
            <w:gridSpan w:val="2"/>
            <w:shd w:val="clear" w:color="000000" w:fill="C0C0C0"/>
            <w:noWrap w:val="0"/>
            <w:vAlign w:val="center"/>
          </w:tcPr>
          <w:p>
            <w:pPr>
              <w:widowControl/>
              <w:jc w:val="left"/>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p>
    <w:p>
      <w:pPr>
        <w:spacing w:line="360" w:lineRule="auto"/>
        <w:rPr>
          <w:rFonts w:hint="eastAsia" w:ascii="宋体" w:hAnsi="宋体"/>
          <w:b/>
        </w:rPr>
      </w:pPr>
      <w:r>
        <w:rPr>
          <w:rFonts w:hint="eastAsia" w:ascii="宋体" w:hAnsi="宋体"/>
          <w:b/>
        </w:rPr>
        <w:t>3.项目服务要求：</w:t>
      </w:r>
    </w:p>
    <w:p>
      <w:pPr>
        <w:spacing w:line="360" w:lineRule="auto"/>
        <w:ind w:firstLine="420" w:firstLineChars="200"/>
        <w:jc w:val="left"/>
        <w:rPr>
          <w:rFonts w:ascii="宋体" w:hAnsi="宋体"/>
          <w:color w:val="000000"/>
        </w:rPr>
      </w:pPr>
      <w:r>
        <w:rPr>
          <w:rFonts w:hint="eastAsia" w:ascii="宋体" w:hAnsi="宋体"/>
          <w:color w:val="000000"/>
        </w:rPr>
        <w:t>1.投标人具备原生产厂家关于本项目售后服务的授权或技术合作协议。</w:t>
      </w:r>
    </w:p>
    <w:p>
      <w:pPr>
        <w:spacing w:line="360" w:lineRule="auto"/>
        <w:ind w:firstLine="420" w:firstLineChars="200"/>
        <w:jc w:val="left"/>
        <w:rPr>
          <w:rFonts w:ascii="宋体" w:hAnsi="宋体"/>
        </w:rPr>
      </w:pPr>
      <w:r>
        <w:rPr>
          <w:rFonts w:hint="eastAsia" w:ascii="宋体" w:hAnsi="宋体"/>
        </w:rPr>
        <w:t>2.维保期内故障报修电话响应时间≤30分钟，工程师到场维修时限≤6小时。</w:t>
      </w:r>
    </w:p>
    <w:p>
      <w:pPr>
        <w:spacing w:line="360" w:lineRule="auto"/>
        <w:ind w:firstLine="420" w:firstLineChars="200"/>
        <w:jc w:val="left"/>
        <w:rPr>
          <w:rFonts w:ascii="宋体" w:hAnsi="宋体"/>
        </w:rPr>
      </w:pPr>
      <w:r>
        <w:rPr>
          <w:rFonts w:hint="eastAsia" w:ascii="宋体" w:hAnsi="宋体"/>
        </w:rPr>
        <w:t>3.全国范围内开通热线电话，24 小时×365 天有工程师接听，可为用户快速诊断和技术支持服务。</w:t>
      </w:r>
    </w:p>
    <w:p>
      <w:pPr>
        <w:spacing w:line="360" w:lineRule="auto"/>
        <w:ind w:firstLine="420" w:firstLineChars="200"/>
        <w:jc w:val="left"/>
        <w:rPr>
          <w:rFonts w:ascii="宋体" w:hAnsi="宋体"/>
          <w:bCs/>
          <w:color w:val="000000"/>
        </w:rPr>
      </w:pPr>
      <w:r>
        <w:rPr>
          <w:rFonts w:hint="eastAsia" w:ascii="宋体" w:hAnsi="宋体"/>
        </w:rPr>
        <w:t>4.现场或紧急维修：不限次数现场或紧急维修。</w:t>
      </w:r>
    </w:p>
    <w:p>
      <w:pPr>
        <w:spacing w:line="360" w:lineRule="auto"/>
        <w:ind w:firstLine="420" w:firstLineChars="200"/>
        <w:jc w:val="left"/>
        <w:rPr>
          <w:rFonts w:ascii="宋体" w:hAnsi="宋体"/>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p>
      <w:pPr>
        <w:spacing w:line="360" w:lineRule="auto"/>
        <w:ind w:firstLine="420" w:firstLineChars="200"/>
        <w:jc w:val="left"/>
        <w:rPr>
          <w:rFonts w:ascii="宋体" w:hAnsi="宋体"/>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p>
      <w:pPr>
        <w:spacing w:line="360" w:lineRule="auto"/>
        <w:ind w:firstLine="420" w:firstLineChars="200"/>
        <w:jc w:val="left"/>
        <w:rPr>
          <w:rFonts w:ascii="宋体" w:hAnsi="宋体"/>
        </w:rPr>
      </w:pPr>
      <w:r>
        <w:rPr>
          <w:rFonts w:hint="eastAsia" w:ascii="宋体" w:hAnsi="宋体"/>
        </w:rPr>
        <w:t>7.维保培训要求：须派遣有经验的工程师提供培训服务，如设备规范化使用、操作、日常维护保养和管理等。</w:t>
      </w:r>
    </w:p>
    <w:p>
      <w:pPr>
        <w:spacing w:line="360" w:lineRule="auto"/>
        <w:rPr>
          <w:rFonts w:ascii="宋体"/>
          <w:b/>
          <w:bCs/>
        </w:rPr>
      </w:pPr>
      <w:r>
        <w:rPr>
          <w:rFonts w:hint="eastAsia" w:ascii="宋体" w:hAnsi="宋体"/>
          <w:b/>
          <w:bCs/>
        </w:rPr>
        <w:t>六、维护保养范围及技术要求（但不限于以下内容）：</w:t>
      </w:r>
    </w:p>
    <w:p>
      <w:pPr>
        <w:tabs>
          <w:tab w:val="left" w:pos="0"/>
          <w:tab w:val="left" w:pos="705"/>
        </w:tabs>
        <w:spacing w:line="360" w:lineRule="auto"/>
        <w:ind w:left="-122" w:leftChars="-58" w:right="-359" w:rightChars="-171"/>
        <w:outlineLvl w:val="0"/>
        <w:rPr>
          <w:rFonts w:ascii="宋体"/>
          <w:b/>
          <w:bCs/>
        </w:rPr>
      </w:pPr>
      <w:r>
        <w:rPr>
          <w:rFonts w:hint="eastAsia" w:ascii="宋体" w:hAnsi="宋体"/>
          <w:b/>
          <w:bCs/>
        </w:rPr>
        <w:t>（一）全自动药品单剂量分包机维修保养要求</w:t>
      </w:r>
    </w:p>
    <w:p>
      <w:pPr>
        <w:spacing w:line="360" w:lineRule="auto"/>
        <w:rPr>
          <w:rFonts w:ascii="宋体"/>
          <w:b/>
        </w:rPr>
      </w:pPr>
      <w:r>
        <w:rPr>
          <w:rFonts w:ascii="宋体" w:hAnsi="宋体"/>
          <w:b/>
        </w:rPr>
        <w:t>1</w:t>
      </w:r>
      <w:r>
        <w:rPr>
          <w:rFonts w:hint="eastAsia" w:ascii="宋体" w:hAnsi="宋体"/>
          <w:b/>
        </w:rPr>
        <w:t>.正常运转中的维护（每月一次）</w:t>
      </w:r>
    </w:p>
    <w:p>
      <w:pPr>
        <w:rPr>
          <w:vanish/>
        </w:rPr>
      </w:pPr>
    </w:p>
    <w:tbl>
      <w:tblPr>
        <w:tblStyle w:val="51"/>
        <w:tblpPr w:leftFromText="180" w:rightFromText="180" w:vertAnchor="text" w:horzAnchor="page" w:tblpX="2207" w:tblpY="282"/>
        <w:tblOverlap w:val="never"/>
        <w:tblW w:w="7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6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6448" w:type="dxa"/>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6448" w:type="dxa"/>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auto"/>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6448" w:type="dxa"/>
            <w:tcBorders>
              <w:bottom w:val="single" w:color="auto" w:sz="4" w:space="0"/>
            </w:tcBorders>
            <w:shd w:val="clear" w:color="000000" w:fill="auto"/>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9" w:type="dxa"/>
            <w:tcBorders>
              <w:bottom w:val="single" w:color="auto" w:sz="4" w:space="0"/>
            </w:tcBorders>
            <w:shd w:val="clear" w:color="000000" w:fill="FFFFFF"/>
            <w:noWrap/>
            <w:vAlign w:val="center"/>
          </w:tcPr>
          <w:p>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6448" w:type="dxa"/>
            <w:tcBorders>
              <w:bottom w:val="single" w:color="auto" w:sz="4" w:space="0"/>
            </w:tcBorders>
            <w:shd w:val="clear" w:color="000000" w:fill="FFFFFF"/>
            <w:noWrap/>
            <w:vAlign w:val="center"/>
          </w:tcPr>
          <w:p>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rPr>
          <w:rFonts w:cs="宋体"/>
          <w:szCs w:val="21"/>
          <w:highlight w:val="none"/>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hint="eastAsia" w:ascii="宋体" w:hAnsi="宋体"/>
          <w:b/>
          <w:bCs/>
        </w:rPr>
      </w:pPr>
    </w:p>
    <w:p>
      <w:pPr>
        <w:spacing w:line="360" w:lineRule="auto"/>
        <w:rPr>
          <w:rFonts w:ascii="宋体"/>
          <w:b/>
          <w:highlight w:val="none"/>
        </w:rPr>
      </w:pPr>
      <w:r>
        <w:rPr>
          <w:rFonts w:hint="eastAsia" w:ascii="宋体" w:hAnsi="宋体"/>
          <w:b/>
          <w:bCs/>
        </w:rPr>
        <w:t>七、维护保养工作时间安排（但不限于以下内容）：</w:t>
      </w:r>
    </w:p>
    <w:p>
      <w:pPr>
        <w:spacing w:line="360" w:lineRule="auto"/>
        <w:rPr>
          <w:rFonts w:ascii="宋体"/>
          <w:highlight w:val="none"/>
        </w:rPr>
      </w:pPr>
      <w:r>
        <w:rPr>
          <w:rFonts w:hint="eastAsia" w:ascii="宋体" w:hAnsi="宋体"/>
          <w:highlight w:val="none"/>
        </w:rPr>
        <w:t>1.1成交供应商委派维修经验丰富的工作人员负责维修保养各系统的运行巡检、突发故障的处理等，保证各系统正常工作。</w:t>
      </w:r>
    </w:p>
    <w:p>
      <w:pPr>
        <w:spacing w:line="360" w:lineRule="auto"/>
        <w:rPr>
          <w:rFonts w:ascii="宋体"/>
          <w:highlight w:val="none"/>
        </w:rPr>
      </w:pPr>
      <w:r>
        <w:rPr>
          <w:rFonts w:hint="eastAsia" w:ascii="宋体" w:hAnsi="宋体"/>
          <w:highlight w:val="none"/>
        </w:rPr>
        <w:t>1.2工作人员每日到使用科室巡视各系统运行情况并作好记录，保证温湿度在正常控制范围内，发现及时处理。</w:t>
      </w:r>
    </w:p>
    <w:p>
      <w:pPr>
        <w:spacing w:line="360" w:lineRule="auto"/>
        <w:rPr>
          <w:rFonts w:ascii="宋体"/>
          <w:highlight w:val="none"/>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p>
      <w:pPr>
        <w:spacing w:line="360" w:lineRule="auto"/>
        <w:rPr>
          <w:rFonts w:hint="eastAsia" w:ascii="宋体" w:hAnsi="宋体"/>
          <w:b/>
          <w:bCs/>
        </w:rPr>
      </w:pPr>
      <w:r>
        <w:rPr>
          <w:rFonts w:hint="eastAsia" w:ascii="宋体" w:hAnsi="宋体"/>
          <w:b/>
          <w:bCs/>
        </w:rPr>
        <w:t>八、验收标准及付款方法</w:t>
      </w:r>
    </w:p>
    <w:p>
      <w:pPr>
        <w:spacing w:line="360" w:lineRule="auto"/>
        <w:rPr>
          <w:rFonts w:hint="eastAsia" w:ascii="宋体" w:hAnsi="宋体"/>
          <w:b/>
        </w:rPr>
      </w:pPr>
      <w:r>
        <w:rPr>
          <w:rFonts w:hint="eastAsia" w:ascii="宋体" w:hAnsi="宋体"/>
          <w:b/>
        </w:rPr>
        <w:t>1、验收标准</w:t>
      </w:r>
    </w:p>
    <w:p>
      <w:pPr>
        <w:spacing w:line="360" w:lineRule="auto"/>
        <w:rPr>
          <w:rFonts w:hint="eastAsia" w:ascii="宋体" w:hAnsi="宋体"/>
        </w:rPr>
      </w:pPr>
      <w:r>
        <w:rPr>
          <w:rFonts w:hint="eastAsia" w:ascii="宋体" w:hAnsi="宋体"/>
        </w:rPr>
        <w:t>1.1成交供应商每个季度向采购人提交维保总结报告书和验收申请，由采购人确认，并作为付款依据。</w:t>
      </w:r>
    </w:p>
    <w:p>
      <w:pPr>
        <w:spacing w:line="360" w:lineRule="auto"/>
        <w:rPr>
          <w:rFonts w:ascii="宋体" w:hAnsi="宋体"/>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p>
      <w:pPr>
        <w:spacing w:line="360" w:lineRule="auto"/>
        <w:rPr>
          <w:rFonts w:ascii="宋体" w:hAnsi="宋体"/>
          <w:b/>
        </w:rPr>
      </w:pPr>
      <w:r>
        <w:rPr>
          <w:rFonts w:hint="eastAsia" w:ascii="宋体" w:hAnsi="宋体"/>
          <w:b/>
        </w:rPr>
        <w:t>2、付款办法</w:t>
      </w:r>
    </w:p>
    <w:p>
      <w:pPr>
        <w:spacing w:line="360" w:lineRule="auto"/>
        <w:rPr>
          <w:rFonts w:ascii="宋体" w:hAnsi="宋体"/>
        </w:rPr>
      </w:pPr>
      <w:r>
        <w:rPr>
          <w:rFonts w:hint="eastAsia" w:ascii="宋体" w:hAnsi="宋体"/>
        </w:rPr>
        <w:t>1．按季度支付服务款项，每年分四次支付 。</w:t>
      </w:r>
    </w:p>
    <w:p>
      <w:pPr>
        <w:spacing w:line="360" w:lineRule="auto"/>
        <w:rPr>
          <w:rFonts w:hint="eastAsia" w:ascii="宋体" w:hAnsi="宋体"/>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p>
      <w:pPr>
        <w:spacing w:line="360" w:lineRule="auto"/>
        <w:rPr>
          <w:rFonts w:hint="eastAsia" w:ascii="宋体"/>
          <w:b/>
          <w:bCs/>
        </w:rPr>
      </w:pPr>
      <w:r>
        <w:rPr>
          <w:rFonts w:hint="eastAsia" w:ascii="宋体" w:hAnsi="宋体"/>
          <w:b/>
          <w:bCs/>
        </w:rPr>
        <w:t>九、其他要求：</w:t>
      </w:r>
    </w:p>
    <w:p>
      <w:pPr>
        <w:spacing w:line="360" w:lineRule="auto"/>
        <w:rPr>
          <w:rFonts w:ascii="宋体" w:hAnsi="宋体"/>
        </w:rPr>
      </w:pPr>
      <w:r>
        <w:rPr>
          <w:rFonts w:hint="eastAsia" w:ascii="宋体" w:hAnsi="宋体"/>
        </w:rPr>
        <w:t>1.成交供应商在维保期内应保证其维保范围内的设备安全可靠、无故障运行。</w:t>
      </w:r>
    </w:p>
    <w:p>
      <w:pPr>
        <w:spacing w:line="360" w:lineRule="auto"/>
        <w:rPr>
          <w:rFonts w:ascii="宋体" w:hAnsi="宋体"/>
        </w:rPr>
      </w:pPr>
      <w:r>
        <w:rPr>
          <w:rFonts w:hint="eastAsia" w:ascii="宋体" w:hAnsi="宋体"/>
        </w:rPr>
        <w:t>2.成交供应商对维保范围内的主要设备每天进行巡查，并填写巡查记录表，发现问题及时处理。</w:t>
      </w:r>
    </w:p>
    <w:p>
      <w:pPr>
        <w:spacing w:line="360" w:lineRule="auto"/>
        <w:rPr>
          <w:rFonts w:ascii="宋体" w:hAnsi="宋体"/>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p>
      <w:pPr>
        <w:spacing w:line="360" w:lineRule="auto"/>
        <w:rPr>
          <w:rFonts w:ascii="宋体" w:hAnsi="宋体"/>
        </w:rPr>
      </w:pPr>
      <w:r>
        <w:rPr>
          <w:rFonts w:hint="eastAsia" w:ascii="宋体" w:hAnsi="宋体"/>
        </w:rPr>
        <w:t>4.维保人员工作时应文明礼貌，遵守采购人有关管理制度，如因成交供应商责任造成的停工、返工、材料、器材损失等均由成交供应商承担。</w:t>
      </w:r>
    </w:p>
    <w:p>
      <w:pPr>
        <w:spacing w:line="360" w:lineRule="auto"/>
        <w:rPr>
          <w:rFonts w:ascii="宋体" w:hAnsi="宋体"/>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p>
      <w:pPr>
        <w:spacing w:line="360" w:lineRule="auto"/>
        <w:rPr>
          <w:rFonts w:ascii="宋体" w:hAnsi="宋体"/>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p>
      <w:pPr>
        <w:spacing w:line="360" w:lineRule="auto"/>
        <w:rPr>
          <w:rFonts w:hint="eastAsia" w:ascii="宋体"/>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p>
      <w:pPr>
        <w:spacing w:line="360" w:lineRule="auto"/>
        <w:rPr>
          <w:rFonts w:hint="eastAsia" w:ascii="宋体" w:hAnsi="宋体"/>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pStyle w:val="4"/>
        <w:ind w:left="0"/>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Pr>
        <w:rPr>
          <w:rFonts w:ascii="宋体" w:hAnsi="宋体" w:cs="宋体"/>
          <w:sz w:val="44"/>
          <w:szCs w:val="44"/>
        </w:rPr>
      </w:pPr>
    </w:p>
    <w:p>
      <w:pPr>
        <w:pStyle w:val="2"/>
        <w:rPr>
          <w:rFonts w:ascii="宋体" w:hAnsi="宋体" w:cs="宋体"/>
          <w:sz w:val="44"/>
          <w:szCs w:val="44"/>
        </w:rPr>
      </w:pPr>
    </w:p>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5"/>
        <w:numPr>
          <w:ilvl w:val="0"/>
          <w:numId w:val="4"/>
        </w:numPr>
        <w:jc w:val="center"/>
      </w:pPr>
      <w:bookmarkStart w:id="4" w:name="_Toc32635"/>
      <w:r>
        <w:rPr>
          <w:rFonts w:hint="eastAsia"/>
        </w:rPr>
        <w:t>评分标准</w:t>
      </w:r>
      <w:bookmarkEnd w:id="4"/>
    </w:p>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pStyle w:val="61"/>
      </w:pPr>
    </w:p>
    <w:p>
      <w:pPr>
        <w:spacing w:line="500" w:lineRule="exac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评分表</w:t>
      </w:r>
    </w:p>
    <w:p>
      <w:pPr>
        <w:tabs>
          <w:tab w:val="left" w:pos="530"/>
        </w:tabs>
        <w:spacing w:line="460" w:lineRule="atLeast"/>
        <w:rPr>
          <w:rFonts w:ascii="宋体" w:hAnsi="宋体"/>
          <w:b/>
          <w:sz w:val="24"/>
        </w:rPr>
      </w:pPr>
      <w:r>
        <w:rPr>
          <w:rFonts w:hint="eastAsia" w:ascii="宋体" w:hAnsi="宋体"/>
          <w:b/>
          <w:sz w:val="24"/>
        </w:rPr>
        <w:t>一、评分权重</w:t>
      </w:r>
    </w:p>
    <w:tbl>
      <w:tblPr>
        <w:tblStyle w:val="51"/>
        <w:tblW w:w="6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评分项目</w:t>
            </w:r>
          </w:p>
        </w:tc>
        <w:tc>
          <w:tcPr>
            <w:tcW w:w="3277" w:type="dxa"/>
            <w:vAlign w:val="center"/>
          </w:tcPr>
          <w:p>
            <w:pPr>
              <w:jc w:val="center"/>
              <w:rPr>
                <w:rFonts w:ascii="宋体" w:hAnsi="宋体" w:cs="宋体"/>
                <w:b/>
                <w:szCs w:val="21"/>
              </w:rPr>
            </w:pPr>
            <w:r>
              <w:rPr>
                <w:rFonts w:hint="eastAsia" w:ascii="宋体" w:hAnsi="宋体" w:cs="宋体"/>
                <w:b/>
                <w:szCs w:val="21"/>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803" w:type="dxa"/>
            <w:shd w:val="clear" w:color="auto" w:fill="auto"/>
            <w:vAlign w:val="center"/>
          </w:tcPr>
          <w:p>
            <w:pPr>
              <w:jc w:val="center"/>
              <w:rPr>
                <w:rFonts w:ascii="宋体" w:hAnsi="宋体" w:cs="宋体"/>
                <w:b/>
                <w:szCs w:val="21"/>
              </w:rPr>
            </w:pPr>
            <w:r>
              <w:rPr>
                <w:rFonts w:hint="eastAsia" w:ascii="宋体" w:hAnsi="宋体" w:cs="宋体"/>
                <w:b/>
                <w:szCs w:val="21"/>
              </w:rPr>
              <w:t>权    重</w:t>
            </w:r>
          </w:p>
        </w:tc>
        <w:tc>
          <w:tcPr>
            <w:tcW w:w="3277" w:type="dxa"/>
            <w:vAlign w:val="center"/>
          </w:tcPr>
          <w:p>
            <w:pPr>
              <w:jc w:val="center"/>
              <w:rPr>
                <w:rFonts w:ascii="宋体" w:hAnsi="宋体" w:cs="宋体"/>
                <w:szCs w:val="21"/>
              </w:rPr>
            </w:pPr>
            <w:r>
              <w:rPr>
                <w:rFonts w:hint="eastAsia" w:ascii="宋体" w:hAnsi="宋体" w:cs="宋体"/>
                <w:szCs w:val="21"/>
              </w:rPr>
              <w:t>100分</w:t>
            </w:r>
          </w:p>
        </w:tc>
      </w:tr>
    </w:tbl>
    <w:p>
      <w:pPr>
        <w:spacing w:line="420" w:lineRule="exact"/>
        <w:rPr>
          <w:rFonts w:ascii="宋体" w:hAnsi="宋体"/>
          <w:b/>
        </w:rPr>
      </w:pPr>
      <w:r>
        <w:rPr>
          <w:rFonts w:hint="eastAsia" w:ascii="宋体" w:hAnsi="宋体"/>
          <w:szCs w:val="21"/>
        </w:rPr>
        <w:t>注：本项目采用</w:t>
      </w:r>
      <w:r>
        <w:rPr>
          <w:rFonts w:hint="eastAsia" w:ascii="宋体" w:hAnsi="宋体"/>
          <w:szCs w:val="21"/>
          <w:lang w:val="en-US" w:eastAsia="zh-CN"/>
        </w:rPr>
        <w:t>合理最低价</w:t>
      </w:r>
      <w:r>
        <w:rPr>
          <w:rFonts w:hint="eastAsia" w:ascii="宋体" w:hAnsi="宋体"/>
          <w:szCs w:val="21"/>
        </w:rPr>
        <w:t>方式，以现场谈判中各供应商</w:t>
      </w:r>
      <w:r>
        <w:rPr>
          <w:rFonts w:hint="eastAsia" w:ascii="宋体" w:hAnsi="宋体"/>
          <w:szCs w:val="21"/>
          <w:lang w:val="en-US" w:eastAsia="zh-CN"/>
        </w:rPr>
        <w:t>满足用户需求条件下</w:t>
      </w:r>
      <w:r>
        <w:rPr>
          <w:rFonts w:hint="eastAsia" w:ascii="宋体" w:hAnsi="宋体"/>
          <w:szCs w:val="21"/>
        </w:rPr>
        <w:t>报价文件中的最</w:t>
      </w:r>
      <w:r>
        <w:rPr>
          <w:rFonts w:hint="eastAsia" w:ascii="宋体" w:hAnsi="宋体"/>
          <w:szCs w:val="21"/>
          <w:lang w:val="en-US" w:eastAsia="zh-CN"/>
        </w:rPr>
        <w:t>低</w:t>
      </w:r>
      <w:r>
        <w:rPr>
          <w:rFonts w:hint="eastAsia" w:ascii="宋体" w:hAnsi="宋体"/>
          <w:szCs w:val="21"/>
        </w:rPr>
        <w:t>报价为预成交价。</w:t>
      </w:r>
      <w:r>
        <w:rPr>
          <w:rFonts w:ascii="宋体" w:hAnsi="宋体"/>
          <w:b/>
        </w:rPr>
        <w:t xml:space="preserve"> </w:t>
      </w:r>
    </w:p>
    <w:p>
      <w:pPr>
        <w:tabs>
          <w:tab w:val="left" w:pos="530"/>
        </w:tabs>
        <w:spacing w:line="460" w:lineRule="atLeast"/>
        <w:rPr>
          <w:rFonts w:ascii="宋体" w:hAnsi="宋体"/>
          <w:b/>
          <w:sz w:val="24"/>
        </w:rPr>
      </w:pPr>
    </w:p>
    <w:p>
      <w:pPr>
        <w:widowControl/>
        <w:jc w:val="left"/>
      </w:pPr>
      <w:r>
        <w:br w:type="page"/>
      </w:r>
    </w:p>
    <w:p/>
    <w:p>
      <w:pPr>
        <w:pStyle w:val="5"/>
        <w:jc w:val="center"/>
        <w:rPr>
          <w:rFonts w:ascii="宋体" w:hAnsi="宋体" w:cs="宋体"/>
        </w:rPr>
      </w:pPr>
    </w:p>
    <w:p>
      <w:pPr>
        <w:pStyle w:val="5"/>
        <w:jc w:val="center"/>
        <w:rPr>
          <w:rFonts w:ascii="宋体" w:hAnsi="宋体" w:cs="宋体"/>
        </w:rPr>
      </w:pPr>
    </w:p>
    <w:p>
      <w:pPr>
        <w:pStyle w:val="5"/>
        <w:jc w:val="center"/>
        <w:rPr>
          <w:rFonts w:ascii="宋体" w:hAnsi="宋体" w:cs="宋体"/>
        </w:rPr>
      </w:pPr>
    </w:p>
    <w:p>
      <w:pPr>
        <w:pStyle w:val="5"/>
        <w:jc w:val="center"/>
      </w:pPr>
      <w:bookmarkStart w:id="5" w:name="_Toc26271"/>
      <w:r>
        <w:rPr>
          <w:rFonts w:hint="eastAsia"/>
        </w:rPr>
        <w:t>第四部分　报价文件格式</w:t>
      </w:r>
      <w:bookmarkEnd w:id="5"/>
    </w:p>
    <w:p>
      <w:pPr>
        <w:rPr>
          <w:rFonts w:ascii="宋体" w:hAnsi="宋体" w:cs="宋体"/>
          <w:b/>
          <w:bCs/>
          <w:sz w:val="24"/>
        </w:rPr>
      </w:pPr>
      <w:r>
        <w:rPr>
          <w:rFonts w:hint="eastAsia" w:ascii="宋体" w:hAnsi="宋体" w:cs="宋体"/>
          <w:sz w:val="24"/>
        </w:rPr>
        <w:br w:type="page"/>
      </w:r>
      <w:r>
        <w:rPr>
          <w:rFonts w:hint="eastAsia" w:ascii="宋体" w:hAnsi="宋体" w:cs="宋体"/>
          <w:b/>
          <w:sz w:val="24"/>
        </w:rPr>
        <w:t>（1）</w:t>
      </w:r>
      <w:r>
        <w:rPr>
          <w:rFonts w:hint="eastAsia" w:ascii="宋体" w:hAnsi="宋体" w:cs="宋体"/>
          <w:b/>
          <w:bCs/>
          <w:sz w:val="24"/>
        </w:rPr>
        <w:t>参数偏离响应情况</w:t>
      </w:r>
    </w:p>
    <w:p>
      <w:pPr>
        <w:pStyle w:val="61"/>
      </w:pPr>
    </w:p>
    <w:tbl>
      <w:tblPr>
        <w:tblStyle w:val="51"/>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83"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bCs/>
                <w:color w:val="000000"/>
                <w:szCs w:val="21"/>
              </w:rPr>
              <w:t>名称</w:t>
            </w:r>
          </w:p>
        </w:tc>
        <w:tc>
          <w:tcPr>
            <w:tcW w:w="1450" w:type="dxa"/>
            <w:shd w:val="clear" w:color="auto" w:fill="auto"/>
            <w:vAlign w:val="center"/>
          </w:tcPr>
          <w:p>
            <w:pPr>
              <w:spacing w:beforeLines="50" w:afterLines="50" w:line="360" w:lineRule="exact"/>
              <w:jc w:val="both"/>
              <w:rPr>
                <w:rFonts w:hint="eastAsia" w:ascii="宋体" w:hAnsi="宋体" w:eastAsia="宋体" w:cs="宋体"/>
                <w:b/>
                <w:color w:val="000000"/>
                <w:szCs w:val="21"/>
                <w:lang w:eastAsia="zh-CN"/>
              </w:rPr>
            </w:pPr>
            <w:r>
              <w:rPr>
                <w:rFonts w:hint="eastAsia" w:ascii="宋体" w:hAnsi="宋体" w:cs="宋体"/>
                <w:b/>
                <w:bCs/>
                <w:color w:val="000000"/>
                <w:szCs w:val="21"/>
              </w:rPr>
              <w:t>偏离情况</w:t>
            </w:r>
            <w:r>
              <w:rPr>
                <w:rFonts w:hint="eastAsia" w:ascii="宋体" w:hAnsi="宋体" w:cs="宋体"/>
                <w:b/>
                <w:bCs/>
                <w:color w:val="000000"/>
                <w:szCs w:val="21"/>
                <w:lang w:eastAsia="zh-CN"/>
              </w:rPr>
              <w:t>（</w:t>
            </w:r>
            <w:r>
              <w:rPr>
                <w:rFonts w:hint="eastAsia" w:ascii="宋体" w:hAnsi="宋体" w:cs="宋体"/>
                <w:b/>
                <w:bCs/>
                <w:color w:val="000000"/>
                <w:szCs w:val="21"/>
              </w:rPr>
              <w:t>完全响应/正偏离/负偏离</w:t>
            </w:r>
            <w:r>
              <w:rPr>
                <w:rFonts w:hint="eastAsia" w:ascii="宋体" w:hAnsi="宋体" w:cs="宋体"/>
                <w:b/>
                <w:bCs/>
                <w:color w:val="000000"/>
                <w:szCs w:val="21"/>
                <w:lang w:eastAsia="zh-CN"/>
              </w:rPr>
              <w:t>）</w:t>
            </w:r>
          </w:p>
        </w:tc>
        <w:tc>
          <w:tcPr>
            <w:tcW w:w="2517" w:type="dxa"/>
            <w:shd w:val="clear" w:color="auto" w:fill="auto"/>
            <w:vAlign w:val="center"/>
          </w:tcPr>
          <w:p>
            <w:pPr>
              <w:spacing w:beforeLines="50" w:afterLines="50" w:line="360" w:lineRule="exact"/>
              <w:jc w:val="both"/>
              <w:rPr>
                <w:rFonts w:ascii="宋体" w:hAnsi="宋体" w:cs="宋体"/>
                <w:b/>
                <w:color w:val="000000"/>
                <w:szCs w:val="21"/>
              </w:rPr>
            </w:pPr>
            <w:r>
              <w:rPr>
                <w:rFonts w:hint="eastAsia" w:ascii="宋体" w:hAnsi="宋体" w:cs="宋体"/>
                <w:b/>
                <w:color w:val="000000"/>
                <w:szCs w:val="21"/>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584"/>
                <w:tab w:val="left" w:pos="616"/>
              </w:tabs>
              <w:spacing w:before="62" w:beforeLines="20" w:line="360" w:lineRule="exact"/>
              <w:jc w:val="both"/>
              <w:rPr>
                <w:rFonts w:ascii="宋体" w:hAnsi="宋体" w:eastAsia="宋体" w:cs="Times New Roman"/>
                <w:b/>
                <w:kern w:val="2"/>
                <w:sz w:val="21"/>
                <w:szCs w:val="24"/>
                <w:lang w:val="en-US" w:eastAsia="zh-CN" w:bidi="ar-SA"/>
              </w:rPr>
            </w:pPr>
            <w:r>
              <w:rPr>
                <w:rFonts w:hint="eastAsia" w:ascii="宋体" w:hAnsi="宋体"/>
                <w:b/>
              </w:rPr>
              <w:t>一、项目概况</w:t>
            </w:r>
          </w:p>
        </w:tc>
        <w:tc>
          <w:tcPr>
            <w:tcW w:w="1450" w:type="dxa"/>
            <w:shd w:val="clear" w:color="auto" w:fill="auto"/>
            <w:vAlign w:val="center"/>
          </w:tcPr>
          <w:p>
            <w:pPr>
              <w:spacing w:beforeLines="50" w:afterLines="50" w:line="360" w:lineRule="exact"/>
              <w:jc w:val="both"/>
              <w:rPr>
                <w:rFonts w:ascii="宋体" w:hAnsi="宋体" w:cs="宋体"/>
                <w:b/>
                <w:bCs/>
                <w:color w:val="000000"/>
                <w:szCs w:val="21"/>
              </w:rPr>
            </w:pPr>
          </w:p>
        </w:tc>
        <w:tc>
          <w:tcPr>
            <w:tcW w:w="2517" w:type="dxa"/>
            <w:shd w:val="clear" w:color="auto" w:fill="auto"/>
            <w:vAlign w:val="center"/>
          </w:tcPr>
          <w:p>
            <w:pPr>
              <w:spacing w:beforeLines="50" w:afterLines="50" w:line="360" w:lineRule="exact"/>
              <w:jc w:val="both"/>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ascii="宋体" w:hAnsi="宋体" w:eastAsia="宋体" w:cs="Times New Roman"/>
                <w:kern w:val="2"/>
                <w:sz w:val="21"/>
                <w:szCs w:val="24"/>
                <w:lang w:val="en-US" w:eastAsia="zh-CN" w:bidi="ar-SA"/>
              </w:rPr>
            </w:pPr>
            <w:r>
              <w:rPr>
                <w:rFonts w:hint="eastAsia" w:ascii="宋体" w:hAnsi="宋体"/>
              </w:rPr>
              <w:t>1.项目名称：中山市小榄人民医院全自动药品单剂量分包机维保项目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2.项目地点：中山市小榄人民医院内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ind w:firstLine="0" w:firstLineChars="0"/>
              <w:jc w:val="both"/>
              <w:rPr>
                <w:rFonts w:ascii="宋体" w:hAnsi="宋体" w:eastAsia="宋体" w:cs="Times New Roman"/>
                <w:b/>
                <w:kern w:val="2"/>
                <w:sz w:val="21"/>
                <w:szCs w:val="22"/>
                <w:lang w:val="en-US" w:eastAsia="zh-CN" w:bidi="ar-SA"/>
              </w:rPr>
            </w:pPr>
            <w:r>
              <w:rPr>
                <w:rFonts w:hint="eastAsia" w:ascii="宋体" w:hAnsi="宋体"/>
              </w:rPr>
              <w:t>二、</w:t>
            </w:r>
            <w:r>
              <w:rPr>
                <w:rFonts w:hint="eastAsia" w:ascii="宋体" w:hAnsi="宋体"/>
                <w:b/>
              </w:rPr>
              <w:t>响应供应商资质要求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before="62" w:beforeLines="20" w:line="480" w:lineRule="exact"/>
              <w:jc w:val="both"/>
              <w:rPr>
                <w:rFonts w:hint="eastAsia" w:ascii="宋体" w:hAnsi="宋体" w:eastAsia="宋体" w:cs="Times New Roman"/>
                <w:b/>
                <w:kern w:val="2"/>
                <w:sz w:val="21"/>
                <w:szCs w:val="24"/>
                <w:lang w:val="en-US" w:eastAsia="zh-CN" w:bidi="ar-SA"/>
              </w:rPr>
            </w:pPr>
            <w:r>
              <w:rPr>
                <w:rFonts w:hint="eastAsia" w:ascii="宋体" w:hAnsi="宋体"/>
              </w:rPr>
              <w:t>1、</w:t>
            </w:r>
            <w:r>
              <w:rPr>
                <w:rFonts w:hint="eastAsia" w:ascii="宋体" w:hAnsi="宋体" w:cs="Times New Roman"/>
              </w:rPr>
              <w:t>★</w:t>
            </w:r>
            <w:r>
              <w:rPr>
                <w:rFonts w:hint="eastAsia" w:ascii="宋体" w:hAnsi="宋体"/>
                <w:b/>
              </w:rPr>
              <w:t>响应供应商</w:t>
            </w:r>
            <w:r>
              <w:rPr>
                <w:rFonts w:hint="eastAsia" w:ascii="宋体" w:hAnsi="宋体" w:cs="Times New Roman"/>
                <w:b/>
              </w:rPr>
              <w:t>应满足以下要求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1.1</w:t>
            </w:r>
            <w:r>
              <w:rPr>
                <w:rFonts w:hint="eastAsia" w:ascii="宋体" w:hAnsi="宋体"/>
                <w:bCs/>
              </w:rPr>
              <w:t>响应供应商</w:t>
            </w:r>
            <w:r>
              <w:rPr>
                <w:rFonts w:hint="eastAsia" w:ascii="宋体" w:hAnsi="宋体"/>
                <w:color w:val="000000"/>
              </w:rPr>
              <w:t>应具备《政府采购法》第二十二条规定的条件。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1.2</w:t>
            </w:r>
            <w:r>
              <w:rPr>
                <w:rFonts w:hint="eastAsia" w:ascii="宋体" w:hAnsi="宋体"/>
                <w:bCs/>
              </w:rPr>
              <w:t>响应供应商</w:t>
            </w:r>
            <w:r>
              <w:rPr>
                <w:rFonts w:hint="eastAsia" w:ascii="宋体" w:hAnsi="宋体"/>
                <w:color w:val="000000"/>
              </w:rPr>
              <w:t>须是在中华人民共和国境内注册的法人或其他组织，并独立于采购人和采购代理机构。</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宋体" w:hAnsi="宋体" w:eastAsia="宋体" w:cs="Times New Roman"/>
                <w:color w:val="000000"/>
                <w:kern w:val="2"/>
                <w:sz w:val="21"/>
                <w:szCs w:val="24"/>
                <w:lang w:val="en-US" w:eastAsia="zh-CN" w:bidi="ar-SA"/>
              </w:rPr>
            </w:pPr>
            <w:r>
              <w:rPr>
                <w:rFonts w:hint="eastAsia" w:ascii="宋体" w:hAnsi="宋体" w:cs="Times New Roman"/>
              </w:rPr>
              <w:t>1.3维护保养工作人员须持有</w:t>
            </w:r>
            <w:r>
              <w:rPr>
                <w:rFonts w:hint="eastAsia" w:ascii="宋体" w:hAnsi="宋体" w:cs="Times New Roman"/>
                <w:highlight w:val="none"/>
              </w:rPr>
              <w:t>原厂</w:t>
            </w:r>
            <w:r>
              <w:rPr>
                <w:rFonts w:hint="eastAsia" w:ascii="宋体" w:hAnsi="宋体" w:cs="Times New Roman"/>
              </w:rPr>
              <w:t>资质证书或相关技术的上岗证。</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widowControl/>
              <w:tabs>
                <w:tab w:val="left" w:pos="851"/>
              </w:tabs>
              <w:spacing w:line="360" w:lineRule="auto"/>
              <w:jc w:val="both"/>
              <w:rPr>
                <w:rFonts w:hint="eastAsia" w:ascii="Times New Roman" w:hAnsi="Times New Roman" w:eastAsia="宋体" w:cs="Times New Roman"/>
                <w:color w:val="000000"/>
                <w:kern w:val="2"/>
                <w:sz w:val="21"/>
                <w:szCs w:val="24"/>
                <w:lang w:val="en-US" w:eastAsia="zh-CN" w:bidi="ar-SA"/>
              </w:rPr>
            </w:pPr>
            <w:r>
              <w:rPr>
                <w:rFonts w:hint="eastAsia" w:ascii="宋体" w:hAnsi="宋体"/>
                <w:color w:val="000000"/>
              </w:rPr>
              <w:t>1.4本项目不接受联合体形式报价。</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b/>
              </w:rPr>
              <w:t>三、项目预算：</w:t>
            </w:r>
            <w:r>
              <w:rPr>
                <w:rFonts w:hint="eastAsia" w:ascii="宋体" w:hAnsi="宋体"/>
              </w:rPr>
              <w:t>15万</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1"/>
              <w:spacing w:line="400" w:lineRule="exact"/>
              <w:ind w:firstLine="0" w:firstLineChars="0"/>
              <w:jc w:val="both"/>
              <w:rPr>
                <w:rFonts w:hint="eastAsia" w:ascii="宋体" w:hAnsi="宋体" w:eastAsia="宋体" w:cs="Times New Roman"/>
                <w:b/>
                <w:kern w:val="2"/>
                <w:sz w:val="21"/>
                <w:szCs w:val="22"/>
                <w:lang w:val="en-US" w:eastAsia="zh-CN" w:bidi="ar-SA"/>
              </w:rPr>
            </w:pPr>
            <w:r>
              <w:rPr>
                <w:rFonts w:hint="eastAsia" w:ascii="宋体" w:hAnsi="宋体" w:cs="Times New Roman"/>
                <w:b/>
              </w:rPr>
              <w:t>四、服务期限：</w:t>
            </w:r>
            <w:r>
              <w:rPr>
                <w:rFonts w:hint="eastAsia" w:ascii="宋体" w:hAnsi="宋体" w:cs="Times New Roman"/>
              </w:rPr>
              <w:t>三年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五、项目服务范围及要求：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★1、本项目服务范围：</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全自动药品单剂量分包机整机维修保养。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2、本项目服务内容：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2.1本项目所涉及需要更换的材料及配件均由成交供应商负责。</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highlight w:val="none"/>
                <w:lang w:val="en-US" w:eastAsia="zh-CN" w:bidi="ar-SA"/>
              </w:rPr>
            </w:pPr>
            <w:r>
              <w:rPr>
                <w:rFonts w:hint="eastAsia" w:ascii="宋体" w:hAnsi="宋体"/>
                <w:highlight w:val="none"/>
              </w:rPr>
              <w:t>★2.2本项目全自动药品单剂量分包机服务内容如下（但不限于以下内容）：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hidden/>
        </w:trPr>
        <w:tc>
          <w:tcPr>
            <w:tcW w:w="5483" w:type="dxa"/>
            <w:shd w:val="clear" w:color="auto" w:fill="auto"/>
            <w:vAlign w:val="center"/>
          </w:tcPr>
          <w:p>
            <w:pPr>
              <w:jc w:val="both"/>
              <w:rPr>
                <w:rFonts w:hint="eastAsia" w:ascii="Times New Roman" w:hAnsi="Times New Roman" w:eastAsia="宋体" w:cs="Times New Roman"/>
                <w:vanish/>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tcBorders>
                    <w:top w:val="single" w:color="auto" w:sz="4" w:space="0"/>
                  </w:tcBorders>
                  <w:shd w:val="clear" w:color="000000" w:fill="FFFFFF"/>
                  <w:noWrap/>
                  <w:textDirection w:val="tbRlV"/>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shd w:val="clear" w:color="000000" w:fill="FFFFFF"/>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维护保养服务项目: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3456" w:type="dxa"/>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3456" w:type="dxa"/>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restart"/>
                  <w:tcBorders>
                    <w:top w:val="single" w:color="auto" w:sz="4" w:space="0"/>
                  </w:tcBorders>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序号</w:t>
                  </w:r>
                </w:p>
              </w:tc>
              <w:tc>
                <w:tcPr>
                  <w:tcW w:w="3456" w:type="dxa"/>
                  <w:vMerge w:val="restart"/>
                  <w:tcBorders>
                    <w:top w:val="single" w:color="auto" w:sz="4" w:space="0"/>
                  </w:tcBorders>
                  <w:noWrap/>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0"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c>
                <w:tcPr>
                  <w:tcW w:w="3456" w:type="dxa"/>
                  <w:vMerge w:val="continue"/>
                  <w:noWrap w:val="0"/>
                  <w:vAlign w:val="center"/>
                </w:tcPr>
                <w:p>
                  <w:pPr>
                    <w:widowControl/>
                    <w:jc w:val="both"/>
                    <w:rPr>
                      <w:rFonts w:hint="eastAsia" w:ascii="微软雅黑" w:hAnsi="微软雅黑" w:eastAsia="微软雅黑" w:cs="微软雅黑"/>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color w:val="000000"/>
                      <w:kern w:val="0"/>
                      <w:sz w:val="18"/>
                      <w:szCs w:val="18"/>
                    </w:rPr>
                  </w:pPr>
                  <w:r>
                    <w:rPr>
                      <w:rFonts w:hint="eastAsia" w:ascii="微软雅黑" w:hAnsi="微软雅黑" w:eastAsia="微软雅黑" w:cs="微软雅黑"/>
                      <w:b/>
                      <w:bCs/>
                      <w:color w:val="000000"/>
                      <w:kern w:val="0"/>
                      <w:sz w:val="18"/>
                      <w:szCs w:val="18"/>
                    </w:rPr>
                    <w:t>维修操作服务项目: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移机服务（摆药机+电脑）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电脑软件重新安装部署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增加药盒 绑定药盒 调整药盒位置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修改药盒以适应药品变化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订做药盒（整片、半片药盒）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远程监控操作服务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杀毒、防毒服务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药袋打印不清晰调整服务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更换不工作药盒底座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药袋纸封口调整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药袋成型调整设定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控制电路板更换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药盒配件更换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包装单元机械零件更换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打印机单元零件更换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药袋传输装置单元零件更换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主机柜与扩展机柜药品通道连接件更换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机柜通风网更换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机柜通风机更换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漏斗更换 塑料 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传感器校验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药品掉落错误维修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SDM掉落错误检查维修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药品多掉少掉监测维修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异常错误监测维修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96" w:type="dxa"/>
                  <w:gridSpan w:val="2"/>
                  <w:shd w:val="clear" w:color="000000" w:fill="C0C0C0"/>
                  <w:noWrap w:val="0"/>
                  <w:vAlign w:val="center"/>
                </w:tcPr>
                <w:p>
                  <w:pPr>
                    <w:widowControl/>
                    <w:jc w:val="both"/>
                    <w:rPr>
                      <w:rFonts w:hint="eastAsia" w:ascii="微软雅黑" w:hAnsi="微软雅黑" w:eastAsia="微软雅黑" w:cs="微软雅黑"/>
                      <w:b/>
                      <w:bCs/>
                      <w:kern w:val="0"/>
                      <w:sz w:val="18"/>
                      <w:szCs w:val="18"/>
                    </w:rPr>
                  </w:pPr>
                  <w:r>
                    <w:rPr>
                      <w:rFonts w:hint="eastAsia" w:ascii="微软雅黑" w:hAnsi="微软雅黑" w:eastAsia="微软雅黑" w:cs="微软雅黑"/>
                      <w:b/>
                      <w:bCs/>
                      <w:kern w:val="0"/>
                      <w:sz w:val="18"/>
                      <w:szCs w:val="18"/>
                    </w:rPr>
                    <w:t>培训、咨询服务项目: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摆药机软件操作培训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摆药机耗材更换培训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摆药机卷纸应对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摆药机打印格式调整应对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中间表字段填写相关意义解释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配合医院调整中间表和摆药机数据库工作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3456" w:type="dxa"/>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配合医院调整涉及摆药机的工作</w:t>
                  </w:r>
                </w:p>
              </w:tc>
            </w:tr>
          </w:tbl>
          <w:p>
            <w:pPr>
              <w:spacing w:line="360" w:lineRule="auto"/>
              <w:jc w:val="both"/>
              <w:rPr>
                <w:rFonts w:hint="eastAsia" w:ascii="宋体" w:hAnsi="宋体" w:eastAsia="宋体" w:cs="Times New Roman"/>
                <w:b/>
                <w:kern w:val="2"/>
                <w:sz w:val="21"/>
                <w:szCs w:val="24"/>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3.项目服务要求：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color w:val="000000"/>
                <w:kern w:val="2"/>
                <w:sz w:val="21"/>
                <w:szCs w:val="24"/>
                <w:lang w:val="en-US" w:eastAsia="zh-CN" w:bidi="ar-SA"/>
              </w:rPr>
            </w:pPr>
            <w:r>
              <w:rPr>
                <w:rFonts w:hint="eastAsia" w:ascii="宋体" w:hAnsi="宋体"/>
                <w:color w:val="000000"/>
              </w:rPr>
              <w:t>1.投标人具备原生产厂家关于本项目售后服务的授权或技术合作协议。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2.维保期内故障报修电话响应时间≤30分钟，工程师到场维修时限≤6小时。</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3.全国范围内开通热线电话，24 小时×365 天有工程师接听，可为用户快速诊断和技术支持服务。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bCs/>
                <w:color w:val="000000"/>
                <w:kern w:val="2"/>
                <w:sz w:val="21"/>
                <w:szCs w:val="24"/>
                <w:lang w:val="en-US" w:eastAsia="zh-CN" w:bidi="ar-SA"/>
              </w:rPr>
            </w:pPr>
            <w:r>
              <w:rPr>
                <w:rFonts w:hint="eastAsia" w:ascii="宋体" w:hAnsi="宋体"/>
              </w:rPr>
              <w:t>4.现场或紧急维修：不限次数现场或紧急维修。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5.</w:t>
            </w:r>
            <w:r>
              <w:rPr>
                <w:rFonts w:hint="eastAsia" w:ascii="宋体" w:hAnsi="宋体"/>
                <w:lang w:val="en-US" w:eastAsia="zh-CN"/>
              </w:rPr>
              <w:t>成交供应商</w:t>
            </w:r>
            <w:r>
              <w:rPr>
                <w:rFonts w:hint="eastAsia" w:ascii="宋体" w:hAnsi="宋体"/>
              </w:rPr>
              <w:t>在维保服务期内无偿提供设备的软硬件安全升级（非功能性软件），以提高设备的安全性和性能，并提供所有升级资料和记录。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6.</w:t>
            </w:r>
            <w:r>
              <w:rPr>
                <w:rFonts w:hint="eastAsia" w:ascii="宋体" w:hAnsi="宋体"/>
                <w:lang w:eastAsia="zh-CN"/>
              </w:rPr>
              <w:t>成交供应商</w:t>
            </w:r>
            <w:r>
              <w:rPr>
                <w:rFonts w:hint="eastAsia" w:ascii="宋体" w:hAnsi="宋体"/>
              </w:rPr>
              <w:t>每年提供年度的维修、维护服务记录，包括维修次数，维修内容，备件数量，保养次数，维修、保养报告等。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ind w:firstLine="420" w:firstLineChars="200"/>
              <w:jc w:val="both"/>
              <w:rPr>
                <w:rFonts w:hint="eastAsia" w:ascii="宋体" w:hAnsi="宋体" w:eastAsia="宋体" w:cs="Times New Roman"/>
                <w:kern w:val="2"/>
                <w:sz w:val="21"/>
                <w:szCs w:val="24"/>
                <w:lang w:val="en-US" w:eastAsia="zh-CN" w:bidi="ar-SA"/>
              </w:rPr>
            </w:pPr>
            <w:r>
              <w:rPr>
                <w:rFonts w:hint="eastAsia" w:ascii="宋体" w:hAnsi="宋体"/>
              </w:rPr>
              <w:t>7.维保培训要求：须派遣有经验的工程师提供培训服务，如设备规范化使用、操作、日常维护保养和管理等。</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六、维护保养范围及技术要求（但不限于以下内容）：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tabs>
                <w:tab w:val="left" w:pos="0"/>
                <w:tab w:val="left" w:pos="705"/>
              </w:tabs>
              <w:spacing w:line="360" w:lineRule="auto"/>
              <w:ind w:left="-122" w:leftChars="-58" w:right="-359" w:rightChars="-171"/>
              <w:jc w:val="both"/>
              <w:outlineLvl w:val="0"/>
              <w:rPr>
                <w:rFonts w:hint="eastAsia" w:ascii="宋体" w:hAnsi="Times New Roman" w:eastAsia="宋体" w:cs="Times New Roman"/>
                <w:b/>
                <w:bCs/>
                <w:kern w:val="2"/>
                <w:sz w:val="21"/>
                <w:szCs w:val="24"/>
                <w:lang w:val="en-US" w:eastAsia="zh-CN" w:bidi="ar-SA"/>
              </w:rPr>
            </w:pPr>
            <w:r>
              <w:rPr>
                <w:rFonts w:hint="eastAsia" w:ascii="宋体" w:hAnsi="宋体"/>
                <w:b/>
                <w:bCs/>
              </w:rPr>
              <w:t>（一）全自动药品单剂量分包机维修保养要求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kern w:val="2"/>
                <w:sz w:val="21"/>
                <w:szCs w:val="24"/>
                <w:lang w:val="en-US" w:eastAsia="zh-CN" w:bidi="ar-SA"/>
              </w:rPr>
            </w:pPr>
            <w:r>
              <w:rPr>
                <w:rFonts w:ascii="宋体" w:hAnsi="宋体"/>
                <w:b/>
              </w:rPr>
              <w:t>1</w:t>
            </w:r>
            <w:r>
              <w:rPr>
                <w:rFonts w:hint="eastAsia" w:ascii="宋体" w:hAnsi="宋体"/>
                <w:b/>
              </w:rPr>
              <w:t>.正常运转中的维护（每月一次）</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1"/>
              <w:tblpPr w:leftFromText="180" w:rightFromText="180" w:vertAnchor="text" w:horzAnchor="page" w:tblpX="220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药盒底座传感器部分除尘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未安装药盒药盒座除尘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药盒底座除尘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药盒干燥剂更换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落药通道清扫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清洁SDM外摆托盘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清洁小漏斗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清洁大漏斗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清洁机柜风扇滤网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清洁加热滚筒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清洁药盒内部药粉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清洁药袋传送带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包装单元除尘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柜门除尘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加热滚齿轮润滑/药柜驱动电机齿轮润滑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检查打印药袋质量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检查药包粘结情况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18</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检查切刀切包药纸情况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19</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切刀驱动轴上油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20</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清洁打印头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21</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SDM外摆托盘马达更换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22</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药袋传送带轴上油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23</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检查传送带海绵轮是否有缺损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24</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大漏斗是否正常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25</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清洁测柜单元药柜漏斗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26</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旁侧药柜单元漏斗清扫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27</w:t>
                  </w:r>
                </w:p>
              </w:tc>
              <w:tc>
                <w:tcPr>
                  <w:tcW w:w="0" w:type="auto"/>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抽屉式推出单元清扫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28</w:t>
                  </w:r>
                </w:p>
              </w:tc>
              <w:tc>
                <w:tcPr>
                  <w:tcW w:w="0" w:type="auto"/>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 xml:space="preserve">过药管道清扫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29</w:t>
                  </w:r>
                </w:p>
              </w:tc>
              <w:tc>
                <w:tcPr>
                  <w:tcW w:w="0" w:type="auto"/>
                  <w:tcBorders>
                    <w:bottom w:val="single" w:color="auto" w:sz="4" w:space="0"/>
                  </w:tcBorders>
                  <w:shd w:val="clear" w:color="000000" w:fill="auto"/>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特殊模式检测机器运行情况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30</w:t>
                  </w:r>
                </w:p>
              </w:tc>
              <w:tc>
                <w:tcPr>
                  <w:tcW w:w="0" w:type="auto"/>
                  <w:tcBorders>
                    <w:bottom w:val="single" w:color="auto" w:sz="4" w:space="0"/>
                  </w:tcBorders>
                  <w:shd w:val="clear" w:color="000000" w:fill="FFFFFF"/>
                  <w:noWrap/>
                  <w:vAlign w:val="center"/>
                </w:tcPr>
                <w:p>
                  <w:pPr>
                    <w:widowControl/>
                    <w:jc w:val="both"/>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软件数据备份</w:t>
                  </w:r>
                </w:p>
              </w:tc>
            </w:tr>
          </w:tbl>
          <w:p>
            <w:pPr>
              <w:pStyle w:val="3"/>
              <w:tabs>
                <w:tab w:val="left" w:pos="6300"/>
                <w:tab w:val="left" w:pos="6839"/>
              </w:tabs>
              <w:spacing w:line="360" w:lineRule="auto"/>
              <w:jc w:val="both"/>
              <w:rPr>
                <w:rFonts w:hint="eastAsia" w:ascii="Times New Roman" w:hAnsi="Times New Roman" w:eastAsia="宋体" w:cs="宋体"/>
                <w:kern w:val="2"/>
                <w:sz w:val="21"/>
                <w:szCs w:val="21"/>
                <w:highlight w:val="none"/>
                <w:lang w:val="en-US" w:eastAsia="zh-CN" w:bidi="ar-SA"/>
              </w:rPr>
            </w:pP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七、维护保养工作时间安排（但不限于以下内容）：</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1.1成交供应商委派维修经验丰富的工作人员负责维修保养各系统的运行巡检、突发故障的处理等，保证各系统正常工作。</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1.2工作人员每日到使用科室巡视各系统运行情况并作好记录，保证温湿度在正常控制范围内，发现及时处理。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highlight w:val="none"/>
                <w:lang w:val="en-US" w:eastAsia="zh-CN" w:bidi="ar-SA"/>
              </w:rPr>
            </w:pPr>
            <w:r>
              <w:rPr>
                <w:rFonts w:hint="eastAsia" w:ascii="宋体" w:hAnsi="宋体"/>
                <w:highlight w:val="none"/>
              </w:rPr>
              <w:t>1.3接到故障报修电话，及时予以解决处理，若无法处理应及时增派技术人员前来快速解决；半年或年度大型维护保养时成交供应商应集中派技术人员进行处理。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bCs/>
                <w:kern w:val="2"/>
                <w:sz w:val="21"/>
                <w:szCs w:val="24"/>
                <w:lang w:val="en-US" w:eastAsia="zh-CN" w:bidi="ar-SA"/>
              </w:rPr>
            </w:pPr>
            <w:r>
              <w:rPr>
                <w:rFonts w:hint="eastAsia" w:ascii="宋体" w:hAnsi="宋体"/>
                <w:b/>
                <w:bCs/>
              </w:rPr>
              <w:t>八、验收标准及付款方法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1、验收标准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1.1成交供应商每个季度向采购人提交维保总结报告书和验收申请，由采购人确认，并作为付款依据。</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1.2在合同开始执行时和本合同期满后，由成交供应商</w:t>
            </w:r>
            <w:r>
              <w:rPr>
                <w:rFonts w:hint="eastAsia" w:ascii="宋体" w:hAnsi="宋体"/>
                <w:lang w:val="en-US" w:eastAsia="zh-CN"/>
              </w:rPr>
              <w:t>和</w:t>
            </w:r>
            <w:r>
              <w:rPr>
                <w:rFonts w:hint="eastAsia" w:ascii="宋体" w:hAnsi="宋体"/>
              </w:rPr>
              <w:t>采购人共同对采购人的所有全自动药品单剂量分包机进行验收。成交供应商在移交前必须确保报价文件及合同维保范围内的设备处于正常运行状态，成交供应商应检修完成后再交付，否则采购人有权请第三方维修，所产生的费用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b/>
                <w:kern w:val="2"/>
                <w:sz w:val="21"/>
                <w:szCs w:val="24"/>
                <w:lang w:val="en-US" w:eastAsia="zh-CN" w:bidi="ar-SA"/>
              </w:rPr>
            </w:pPr>
            <w:r>
              <w:rPr>
                <w:rFonts w:hint="eastAsia" w:ascii="宋体" w:hAnsi="宋体"/>
                <w:b/>
              </w:rPr>
              <w:t>2、付款办法</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1．按季度支付服务款项，每年分四次支付 。</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2．在按约定付款前，成交供应商应开具符合国家税务规定的相应金额的服务发票给采购方，否则采购方有权拒绝付款，该项拒绝不视为违约，因开具发票所产生的税费由</w:t>
            </w:r>
            <w:r>
              <w:rPr>
                <w:rFonts w:hint="eastAsia" w:ascii="宋体" w:hAnsi="宋体"/>
                <w:lang w:val="en-US" w:eastAsia="zh-CN"/>
              </w:rPr>
              <w:t>成交供应商</w:t>
            </w:r>
            <w:r>
              <w:rPr>
                <w:rFonts w:hint="eastAsia" w:ascii="宋体" w:hAnsi="宋体"/>
              </w:rPr>
              <w:t>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b/>
                <w:bCs/>
                <w:kern w:val="2"/>
                <w:sz w:val="21"/>
                <w:szCs w:val="24"/>
                <w:lang w:val="en-US" w:eastAsia="zh-CN" w:bidi="ar-SA"/>
              </w:rPr>
            </w:pPr>
            <w:r>
              <w:rPr>
                <w:rFonts w:hint="eastAsia" w:ascii="宋体" w:hAnsi="宋体"/>
                <w:b/>
                <w:bCs/>
              </w:rPr>
              <w:t>九、其他要求：</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1.成交供应商在维保期内应保证其维保范围内的设备安全可靠、无故障运行。</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2.成交供应商对维保范围内的主要设备每天进行巡查，并填写巡查记录表，发现问题及时处理。</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3.成交供应商应设有</w:t>
            </w:r>
            <w:r>
              <w:rPr>
                <w:rFonts w:ascii="宋体" w:hAnsi="宋体"/>
              </w:rPr>
              <w:t>24</w:t>
            </w:r>
            <w:r>
              <w:rPr>
                <w:rFonts w:hint="eastAsia" w:ascii="宋体" w:hAnsi="宋体"/>
              </w:rPr>
              <w:t>小时电话服务，维保范围内的设备出现故障时，成交供应商在接到通知后</w:t>
            </w:r>
            <w:r>
              <w:rPr>
                <w:rFonts w:ascii="宋体" w:hAnsi="宋体"/>
              </w:rPr>
              <w:t>1</w:t>
            </w:r>
            <w:r>
              <w:rPr>
                <w:rFonts w:hint="eastAsia" w:ascii="宋体" w:hAnsi="宋体"/>
              </w:rPr>
              <w:t>小时内到现场进行处理；如系统发生重大故障不能正常运行的，成交供应商应在接到通知后</w:t>
            </w:r>
            <w:r>
              <w:rPr>
                <w:rFonts w:ascii="宋体" w:hAnsi="宋体"/>
              </w:rPr>
              <w:t>3</w:t>
            </w:r>
            <w:r>
              <w:rPr>
                <w:rFonts w:hint="eastAsia" w:ascii="宋体" w:hAnsi="宋体"/>
              </w:rPr>
              <w:t>小时内到达现场查修；若因故不能即时修复而影响系统正常运作，应及时通知采购人，同时，成交供应商应做好相应的临时补救措施，并有书面记录存查。</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4.维保人员工作时应文明礼貌，遵守采购人有关管理制度，如因成交供应商责任造成的停工、返工、材料、器材损失等均由成交供应商承担。</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5. 在不影响采购人正常工作的情况下进行维修保养工作（如利用用餐时间或晚上休息时间等），应做到文明施工，做好安全防护措施，确保人身安全，如在维保过程中发生事故、工作人员及其他人员受到伤害的由成交供应商负责，采购人不负任何责任。</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6.需要时采购人应向成交供应商提供有关项目图纸及相关技术资料，成交供应商对采购人提供的所有技术资料，包括各类纸张文本、图纸、电子版资料等，应做好保密工作，不得挪作其他用途。</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Times New Roman" w:eastAsia="宋体" w:cs="Times New Roman"/>
                <w:kern w:val="2"/>
                <w:sz w:val="21"/>
                <w:szCs w:val="24"/>
                <w:lang w:val="en-US" w:eastAsia="zh-CN" w:bidi="ar-SA"/>
              </w:rPr>
            </w:pPr>
            <w:r>
              <w:rPr>
                <w:rFonts w:hint="eastAsia" w:ascii="宋体" w:hAnsi="宋体"/>
              </w:rPr>
              <w:t>7.成交供应商每次维护工作都需记录，填写登记表并交采购人使用部门负责人确认。每月须以书面形式向采购人空调系统管理负责人汇报设备的状况，如遇特殊情况，必须及时汇报。在每年应对全年的维保工作进行总结，对维保范围内的设备进行年度评估，并根据评现状向采购人提出建议和制定下个年度的维保计划。</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spacing w:line="360" w:lineRule="auto"/>
              <w:jc w:val="both"/>
              <w:rPr>
                <w:rFonts w:hint="eastAsia" w:ascii="宋体" w:hAnsi="宋体" w:eastAsia="宋体" w:cs="Times New Roman"/>
                <w:kern w:val="2"/>
                <w:sz w:val="21"/>
                <w:szCs w:val="24"/>
                <w:lang w:val="en-US" w:eastAsia="zh-CN" w:bidi="ar-SA"/>
              </w:rPr>
            </w:pPr>
            <w:r>
              <w:rPr>
                <w:rFonts w:hint="eastAsia" w:ascii="宋体" w:hAnsi="宋体"/>
              </w:rPr>
              <w:t>8.成交供应商应为采购人指定</w:t>
            </w:r>
            <w:r>
              <w:rPr>
                <w:rFonts w:hint="eastAsia" w:ascii="宋体" w:hAnsi="宋体"/>
                <w:highlight w:val="none"/>
              </w:rPr>
              <w:t>全自动药品单剂量分包机</w:t>
            </w:r>
            <w:r>
              <w:rPr>
                <w:rFonts w:hint="eastAsia" w:ascii="宋体" w:hAnsi="宋体"/>
              </w:rPr>
              <w:t>建立完整维修保养档案，定期提供给采购人。</w:t>
            </w:r>
          </w:p>
        </w:tc>
        <w:tc>
          <w:tcPr>
            <w:tcW w:w="1450" w:type="dxa"/>
            <w:shd w:val="clear" w:color="auto" w:fill="auto"/>
            <w:vAlign w:val="center"/>
          </w:tcPr>
          <w:p>
            <w:pPr>
              <w:spacing w:beforeLines="50" w:afterLines="50" w:line="360" w:lineRule="exact"/>
              <w:jc w:val="both"/>
              <w:rPr>
                <w:rFonts w:ascii="宋体" w:hAnsi="宋体" w:cs="宋体"/>
                <w:bCs/>
                <w:color w:val="000000"/>
                <w:szCs w:val="21"/>
              </w:rPr>
            </w:pPr>
          </w:p>
        </w:tc>
        <w:tc>
          <w:tcPr>
            <w:tcW w:w="2517" w:type="dxa"/>
            <w:shd w:val="clear" w:color="auto" w:fill="auto"/>
            <w:vAlign w:val="center"/>
          </w:tcPr>
          <w:p>
            <w:pPr>
              <w:spacing w:beforeLines="50" w:afterLines="50" w:line="360" w:lineRule="exact"/>
              <w:jc w:val="both"/>
              <w:rPr>
                <w:rFonts w:ascii="宋体" w:hAnsi="宋体" w:cs="宋体"/>
                <w:color w:val="000000"/>
                <w:szCs w:val="21"/>
              </w:rPr>
            </w:pPr>
          </w:p>
        </w:tc>
      </w:tr>
    </w:tbl>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pStyle w:val="26"/>
        <w:tabs>
          <w:tab w:val="left" w:pos="0"/>
        </w:tabs>
        <w:adjustRightInd w:val="0"/>
        <w:snapToGrid w:val="0"/>
        <w:spacing w:line="420" w:lineRule="exact"/>
        <w:rPr>
          <w:rFonts w:hAnsi="宋体" w:cs="宋体"/>
          <w:b/>
          <w:bCs/>
          <w:sz w:val="24"/>
          <w:szCs w:val="24"/>
        </w:rPr>
      </w:pPr>
    </w:p>
    <w:p>
      <w:pPr>
        <w:widowControl/>
        <w:jc w:val="left"/>
        <w:rPr>
          <w:rFonts w:ascii="宋体" w:hAnsi="宋体" w:cs="宋体"/>
          <w:b/>
          <w:bCs/>
          <w:sz w:val="24"/>
        </w:rPr>
      </w:pPr>
      <w:r>
        <w:rPr>
          <w:rFonts w:hAnsi="宋体" w:cs="宋体"/>
          <w:b/>
          <w:bCs/>
          <w:sz w:val="24"/>
        </w:rPr>
        <w:br w:type="page"/>
      </w:r>
    </w:p>
    <w:p>
      <w:pPr>
        <w:pStyle w:val="26"/>
        <w:tabs>
          <w:tab w:val="left" w:pos="0"/>
        </w:tabs>
        <w:adjustRightInd w:val="0"/>
        <w:snapToGrid w:val="0"/>
        <w:spacing w:line="420" w:lineRule="exact"/>
        <w:rPr>
          <w:rFonts w:hAnsi="宋体" w:cs="宋体"/>
          <w:sz w:val="24"/>
          <w:szCs w:val="24"/>
        </w:rPr>
      </w:pPr>
      <w:r>
        <w:rPr>
          <w:rFonts w:hint="eastAsia" w:hAnsi="宋体" w:cs="宋体"/>
          <w:b/>
          <w:bCs/>
          <w:sz w:val="24"/>
          <w:szCs w:val="24"/>
        </w:rPr>
        <w:t>（2）报价单</w:t>
      </w:r>
      <w:r>
        <w:rPr>
          <w:rFonts w:hint="eastAsia" w:hAnsi="宋体" w:cs="宋体"/>
          <w:sz w:val="24"/>
          <w:szCs w:val="24"/>
        </w:rPr>
        <w:t xml:space="preserve"> </w:t>
      </w:r>
    </w:p>
    <w:p>
      <w:pPr>
        <w:pStyle w:val="26"/>
        <w:tabs>
          <w:tab w:val="left" w:pos="0"/>
        </w:tabs>
        <w:adjustRightInd w:val="0"/>
        <w:snapToGrid w:val="0"/>
        <w:spacing w:line="420" w:lineRule="exact"/>
        <w:rPr>
          <w:rFonts w:hAnsi="宋体" w:cs="宋体"/>
          <w:sz w:val="24"/>
          <w:szCs w:val="24"/>
        </w:rPr>
      </w:pPr>
    </w:p>
    <w:tbl>
      <w:tblPr>
        <w:tblStyle w:val="51"/>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20"/>
        <w:gridCol w:w="1459"/>
        <w:gridCol w:w="1455"/>
        <w:gridCol w:w="166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序号</w:t>
            </w:r>
          </w:p>
        </w:tc>
        <w:tc>
          <w:tcPr>
            <w:tcW w:w="1920"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项目名称</w:t>
            </w:r>
          </w:p>
        </w:tc>
        <w:tc>
          <w:tcPr>
            <w:tcW w:w="1459"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bCs/>
                <w:color w:val="000000"/>
                <w:szCs w:val="21"/>
              </w:rPr>
              <w:t>数量</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单价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总价</w:t>
            </w: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r>
              <w:rPr>
                <w:rFonts w:hint="eastAsia" w:ascii="宋体" w:hAnsi="宋体" w:cs="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shd w:val="clear" w:color="auto" w:fill="auto"/>
            <w:vAlign w:val="center"/>
          </w:tcPr>
          <w:p>
            <w:pPr>
              <w:spacing w:beforeLines="50" w:afterLines="50" w:line="360" w:lineRule="exact"/>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1</w:t>
            </w:r>
          </w:p>
        </w:tc>
        <w:tc>
          <w:tcPr>
            <w:tcW w:w="1920" w:type="dxa"/>
            <w:shd w:val="clear" w:color="auto" w:fill="auto"/>
            <w:vAlign w:val="center"/>
          </w:tcPr>
          <w:p>
            <w:pPr>
              <w:spacing w:beforeLines="50" w:afterLines="50" w:line="360" w:lineRule="exact"/>
              <w:jc w:val="center"/>
              <w:rPr>
                <w:rFonts w:ascii="宋体" w:hAnsi="宋体" w:cs="宋体"/>
                <w:b/>
                <w:bCs/>
                <w:color w:val="000000"/>
                <w:szCs w:val="21"/>
              </w:rPr>
            </w:pPr>
            <w:r>
              <w:rPr>
                <w:rFonts w:hint="eastAsia" w:ascii="宋体" w:hAnsi="宋体" w:eastAsia="宋体" w:cs="宋体"/>
                <w:b w:val="0"/>
                <w:bCs w:val="0"/>
                <w:color w:val="000000"/>
                <w:szCs w:val="21"/>
                <w:lang w:val="en-US" w:eastAsia="zh-CN"/>
              </w:rPr>
              <w:t>中山市小榄人民医院全自动药品单剂量分包机维保项目</w:t>
            </w:r>
            <w:r>
              <w:rPr>
                <w:rFonts w:hint="eastAsia" w:ascii="宋体" w:hAnsi="宋体" w:cs="宋体"/>
                <w:b w:val="0"/>
                <w:bCs w:val="0"/>
                <w:color w:val="000000"/>
                <w:szCs w:val="21"/>
                <w:lang w:val="en-US" w:eastAsia="zh-CN"/>
              </w:rPr>
              <w:t>（第三</w:t>
            </w:r>
            <w:bookmarkStart w:id="6" w:name="_GoBack"/>
            <w:bookmarkEnd w:id="6"/>
            <w:r>
              <w:rPr>
                <w:rFonts w:hint="eastAsia" w:ascii="宋体" w:hAnsi="宋体" w:cs="宋体"/>
                <w:b w:val="0"/>
                <w:bCs w:val="0"/>
                <w:color w:val="000000"/>
                <w:szCs w:val="21"/>
                <w:lang w:val="en-US" w:eastAsia="zh-CN"/>
              </w:rPr>
              <w:t>次）</w:t>
            </w:r>
          </w:p>
        </w:tc>
        <w:tc>
          <w:tcPr>
            <w:tcW w:w="1459" w:type="dxa"/>
            <w:shd w:val="clear" w:color="auto" w:fill="auto"/>
            <w:vAlign w:val="center"/>
          </w:tcPr>
          <w:p>
            <w:pPr>
              <w:spacing w:beforeLines="50" w:afterLines="50" w:line="360" w:lineRule="exact"/>
              <w:jc w:val="center"/>
              <w:rPr>
                <w:rFonts w:hint="default" w:ascii="宋体" w:hAnsi="宋体" w:eastAsia="宋体" w:cs="宋体"/>
                <w:b/>
                <w:bCs/>
                <w:color w:val="000000"/>
                <w:szCs w:val="21"/>
                <w:lang w:val="en-US" w:eastAsia="zh-CN"/>
              </w:rPr>
            </w:pPr>
            <w:r>
              <w:rPr>
                <w:rFonts w:hint="eastAsia" w:ascii="宋体" w:hAnsi="宋体" w:cs="宋体"/>
                <w:b w:val="0"/>
                <w:bCs w:val="0"/>
                <w:color w:val="000000"/>
                <w:szCs w:val="21"/>
                <w:lang w:val="en-US" w:eastAsia="zh-CN"/>
              </w:rPr>
              <w:t>3年</w:t>
            </w:r>
          </w:p>
        </w:tc>
        <w:tc>
          <w:tcPr>
            <w:tcW w:w="145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c>
          <w:tcPr>
            <w:tcW w:w="1665" w:type="dxa"/>
            <w:shd w:val="clear" w:color="auto" w:fill="auto"/>
            <w:vAlign w:val="center"/>
          </w:tcPr>
          <w:p>
            <w:pPr>
              <w:spacing w:beforeLines="50" w:afterLines="50" w:line="360" w:lineRule="exact"/>
              <w:jc w:val="center"/>
              <w:rPr>
                <w:rFonts w:ascii="宋体" w:hAnsi="宋体" w:cs="宋体"/>
                <w:b/>
                <w:color w:val="000000"/>
                <w:szCs w:val="21"/>
              </w:rPr>
            </w:pPr>
          </w:p>
        </w:tc>
      </w:tr>
    </w:tbl>
    <w:p>
      <w:pPr>
        <w:pStyle w:val="26"/>
        <w:tabs>
          <w:tab w:val="left" w:pos="0"/>
        </w:tabs>
        <w:adjustRightInd w:val="0"/>
        <w:snapToGrid w:val="0"/>
        <w:spacing w:line="420" w:lineRule="exact"/>
        <w:rPr>
          <w:rFonts w:hAnsi="宋体" w:cs="宋体"/>
          <w:b/>
          <w:bCs/>
          <w:sz w:val="24"/>
          <w:szCs w:val="24"/>
        </w:rPr>
      </w:pPr>
      <w:r>
        <w:rPr>
          <w:rFonts w:hint="eastAsia" w:hAnsi="宋体" w:cs="宋体"/>
          <w:color w:val="000000"/>
          <w:sz w:val="24"/>
          <w:szCs w:val="24"/>
        </w:rPr>
        <w:t>注：如有分项报价，可自行编辑列表填入</w:t>
      </w:r>
    </w:p>
    <w:p>
      <w:pPr>
        <w:spacing w:beforeLines="50" w:afterLines="50" w:line="360" w:lineRule="auto"/>
        <w:rPr>
          <w:rFonts w:ascii="宋体" w:hAnsi="宋体" w:cs="宋体"/>
          <w:sz w:val="24"/>
        </w:rPr>
      </w:pP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（3）法定代表人授权委托书</w:t>
      </w:r>
    </w:p>
    <w:p>
      <w:pPr>
        <w:pStyle w:val="26"/>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3"/>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6"/>
        <w:tabs>
          <w:tab w:val="left" w:pos="0"/>
        </w:tabs>
        <w:adjustRightInd w:val="0"/>
        <w:snapToGrid w:val="0"/>
        <w:spacing w:line="420" w:lineRule="exact"/>
        <w:rPr>
          <w:rFonts w:hAnsi="宋体" w:cs="宋体"/>
          <w:b/>
          <w:sz w:val="24"/>
          <w:szCs w:val="24"/>
        </w:rPr>
      </w:pPr>
      <w:r>
        <w:rPr>
          <w:rFonts w:hint="eastAsia" w:hAnsi="宋体" w:cs="宋体"/>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8"/>
        <w:tabs>
          <w:tab w:val="center" w:pos="4450"/>
          <w:tab w:val="left" w:pos="6396"/>
        </w:tabs>
        <w:jc w:val="center"/>
        <w:rPr>
          <w:rFonts w:ascii="宋体" w:hAnsi="宋体" w:cs="宋体"/>
        </w:rPr>
      </w:pPr>
    </w:p>
    <w:p>
      <w:pPr>
        <w:pStyle w:val="8"/>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5"/>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5"/>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8"/>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4"/>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4"/>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1"/>
      </w:pPr>
      <w: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（5）厂家资质证件（包括但不限于营业执照、医疗器械生产许可证等）</w:t>
      </w:r>
    </w:p>
    <w:p>
      <w:pPr>
        <w:rPr>
          <w:rFonts w:ascii="宋体" w:hAnsi="宋体" w:cs="宋体"/>
          <w:sz w:val="24"/>
        </w:rPr>
      </w:pPr>
      <w:r>
        <w:rPr>
          <w:rFonts w:hint="eastAsia" w:ascii="宋体" w:hAnsi="宋体" w:cs="宋体"/>
          <w:sz w:val="24"/>
        </w:rPr>
        <w:br w:type="page"/>
      </w:r>
    </w:p>
    <w:p>
      <w:pPr>
        <w:pStyle w:val="26"/>
        <w:tabs>
          <w:tab w:val="left" w:pos="0"/>
        </w:tabs>
        <w:adjustRightInd w:val="0"/>
        <w:snapToGrid w:val="0"/>
        <w:spacing w:line="420" w:lineRule="exact"/>
        <w:rPr>
          <w:rFonts w:hAnsi="宋体" w:cs="宋体"/>
          <w:b/>
          <w:bCs/>
          <w:sz w:val="24"/>
          <w:szCs w:val="24"/>
        </w:rPr>
      </w:pPr>
      <w:r>
        <w:rPr>
          <w:rFonts w:hint="eastAsia" w:hAnsi="宋体" w:cs="宋体"/>
          <w:b/>
          <w:bCs/>
          <w:sz w:val="24"/>
          <w:szCs w:val="24"/>
        </w:rPr>
        <w:t>（6）各级经销商资质证件（包括但不限于营业执照、医疗器械经营许可证、备案等）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4" w:type="default"/>
          <w:footerReference r:id="rId5" w:type="default"/>
          <w:pgSz w:w="11907" w:h="16840"/>
          <w:pgMar w:top="1418" w:right="1418" w:bottom="1418" w:left="1418" w:header="567" w:footer="748" w:gutter="0"/>
          <w:cols w:space="720" w:num="1"/>
          <w:docGrid w:linePitch="312" w:charSpace="0"/>
        </w:sectPr>
      </w:pPr>
      <w:r>
        <w:rPr>
          <w:rFonts w:hint="eastAsia" w:ascii="宋体" w:hAnsi="宋体" w:cs="宋体"/>
          <w:b/>
          <w:bCs/>
          <w:sz w:val="24"/>
        </w:rPr>
        <w:t>（7）售后服务承诺</w:t>
      </w:r>
    </w:p>
    <w:p>
      <w:pPr>
        <w:jc w:val="left"/>
        <w:rPr>
          <w:rFonts w:ascii="宋体" w:hAnsi="宋体" w:cs="宋体"/>
          <w:b/>
          <w:bCs/>
          <w:sz w:val="24"/>
        </w:rPr>
      </w:pPr>
      <w:r>
        <w:rPr>
          <w:rFonts w:hint="eastAsia" w:ascii="宋体" w:hAnsi="宋体" w:cs="宋体"/>
          <w:b/>
          <w:bCs/>
          <w:sz w:val="24"/>
        </w:rPr>
        <w:t>（8）项目实施方案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6"/>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rPr>
        <w:t>（9）201</w:t>
      </w:r>
      <w:r>
        <w:rPr>
          <w:rFonts w:hint="eastAsia" w:hAnsi="宋体" w:cs="宋体"/>
          <w:b/>
          <w:bCs/>
          <w:sz w:val="24"/>
          <w:szCs w:val="24"/>
          <w:lang w:val="en-US" w:eastAsia="zh-CN"/>
        </w:rPr>
        <w:t>9</w:t>
      </w:r>
      <w:r>
        <w:rPr>
          <w:rFonts w:hint="eastAsia" w:hAnsi="宋体" w:cs="宋体"/>
          <w:b/>
          <w:bCs/>
          <w:sz w:val="24"/>
          <w:szCs w:val="24"/>
        </w:rPr>
        <w:t>年至今同类项目合同复印件</w:t>
      </w:r>
    </w:p>
    <w:p>
      <w:pPr>
        <w:pStyle w:val="26"/>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CE8F3975"/>
    <w:multiLevelType w:val="singleLevel"/>
    <w:tmpl w:val="CE8F3975"/>
    <w:lvl w:ilvl="0" w:tentative="0">
      <w:start w:val="1"/>
      <w:numFmt w:val="chineseCounting"/>
      <w:suff w:val="nothing"/>
      <w:lvlText w:val="%1、"/>
      <w:lvlJc w:val="left"/>
      <w:pPr>
        <w:ind w:left="0" w:firstLine="420"/>
      </w:pPr>
      <w:rPr>
        <w:rFonts w:hint="eastAsia" w:ascii="仿宋_GB2312" w:hAnsi="仿宋_GB2312" w:eastAsia="仿宋_GB2312" w:cs="仿宋_GB2312"/>
        <w:sz w:val="28"/>
        <w:szCs w:val="28"/>
      </w:rPr>
    </w:lvl>
  </w:abstractNum>
  <w:abstractNum w:abstractNumId="2">
    <w:nsid w:val="D74D7279"/>
    <w:multiLevelType w:val="singleLevel"/>
    <w:tmpl w:val="D74D7279"/>
    <w:lvl w:ilvl="0" w:tentative="0">
      <w:start w:val="1"/>
      <w:numFmt w:val="decimal"/>
      <w:lvlText w:val="%1."/>
      <w:lvlJc w:val="left"/>
      <w:pPr>
        <w:ind w:left="425" w:hanging="425"/>
      </w:pPr>
      <w:rPr>
        <w:rFonts w:hint="default"/>
      </w:rPr>
    </w:lvl>
  </w:abstractNum>
  <w:abstractNum w:abstractNumId="3">
    <w:nsid w:val="4433B09C"/>
    <w:multiLevelType w:val="singleLevel"/>
    <w:tmpl w:val="4433B09C"/>
    <w:lvl w:ilvl="0" w:tentative="0">
      <w:start w:val="1"/>
      <w:numFmt w:val="decimal"/>
      <w:lvlText w:val="%1."/>
      <w:lvlJc w:val="left"/>
      <w:pPr>
        <w:ind w:left="425" w:hanging="425"/>
      </w:pPr>
      <w:rPr>
        <w:rFonts w:hint="default"/>
      </w:r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7E0F8E"/>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0"/>
    <w:pPr>
      <w:keepNext/>
      <w:keepLines/>
      <w:spacing w:line="578" w:lineRule="auto"/>
      <w:outlineLvl w:val="0"/>
    </w:pPr>
    <w:rPr>
      <w:b/>
      <w:bCs/>
      <w:kern w:val="44"/>
      <w:sz w:val="44"/>
      <w:szCs w:val="44"/>
    </w:rPr>
  </w:style>
  <w:style w:type="paragraph" w:styleId="6">
    <w:name w:val="heading 2"/>
    <w:basedOn w:val="1"/>
    <w:next w:val="7"/>
    <w:link w:val="63"/>
    <w:qFormat/>
    <w:uiPriority w:val="0"/>
    <w:pPr>
      <w:keepNext/>
      <w:keepLines/>
      <w:spacing w:line="416" w:lineRule="auto"/>
      <w:outlineLvl w:val="1"/>
    </w:pPr>
    <w:rPr>
      <w:rFonts w:ascii="Arial" w:hAnsi="Arial" w:eastAsia="黑体"/>
      <w:b/>
      <w:bCs/>
      <w:sz w:val="32"/>
      <w:szCs w:val="32"/>
    </w:rPr>
  </w:style>
  <w:style w:type="paragraph" w:styleId="8">
    <w:name w:val="heading 3"/>
    <w:basedOn w:val="1"/>
    <w:next w:val="1"/>
    <w:link w:val="65"/>
    <w:qFormat/>
    <w:uiPriority w:val="0"/>
    <w:pPr>
      <w:keepNext/>
      <w:keepLines/>
      <w:spacing w:line="416" w:lineRule="auto"/>
      <w:outlineLvl w:val="2"/>
    </w:pPr>
    <w:rPr>
      <w:b/>
      <w:bCs/>
      <w:sz w:val="32"/>
      <w:szCs w:val="32"/>
    </w:rPr>
  </w:style>
  <w:style w:type="paragraph" w:styleId="9">
    <w:name w:val="heading 4"/>
    <w:basedOn w:val="1"/>
    <w:next w:val="1"/>
    <w:link w:val="66"/>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7"/>
    <w:link w:val="67"/>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11">
    <w:name w:val="heading 6"/>
    <w:basedOn w:val="1"/>
    <w:next w:val="7"/>
    <w:link w:val="68"/>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12">
    <w:name w:val="heading 7"/>
    <w:basedOn w:val="1"/>
    <w:next w:val="7"/>
    <w:link w:val="69"/>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3">
    <w:name w:val="heading 8"/>
    <w:basedOn w:val="1"/>
    <w:next w:val="7"/>
    <w:link w:val="70"/>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4">
    <w:name w:val="heading 9"/>
    <w:basedOn w:val="1"/>
    <w:next w:val="7"/>
    <w:link w:val="71"/>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240" w:lineRule="auto"/>
      <w:ind w:firstLine="420" w:firstLineChars="100"/>
    </w:pPr>
    <w:rPr>
      <w:szCs w:val="24"/>
    </w:rPr>
  </w:style>
  <w:style w:type="paragraph" w:styleId="3">
    <w:name w:val="Body Text"/>
    <w:basedOn w:val="1"/>
    <w:next w:val="4"/>
    <w:qFormat/>
    <w:uiPriority w:val="0"/>
    <w:pPr>
      <w:spacing w:line="360" w:lineRule="auto"/>
    </w:pPr>
    <w:rPr>
      <w:szCs w:val="20"/>
    </w:rPr>
  </w:style>
  <w:style w:type="paragraph" w:styleId="4">
    <w:name w:val="toc 5"/>
    <w:basedOn w:val="1"/>
    <w:next w:val="1"/>
    <w:qFormat/>
    <w:uiPriority w:val="0"/>
    <w:pPr>
      <w:ind w:left="840"/>
      <w:jc w:val="left"/>
    </w:pPr>
    <w:rPr>
      <w:rFonts w:ascii="Calibri" w:hAnsi="Calibri"/>
      <w:sz w:val="18"/>
      <w:szCs w:val="18"/>
    </w:rPr>
  </w:style>
  <w:style w:type="paragraph" w:styleId="7">
    <w:name w:val="Normal Indent"/>
    <w:basedOn w:val="1"/>
    <w:link w:val="64"/>
    <w:qFormat/>
    <w:uiPriority w:val="0"/>
    <w:pPr>
      <w:ind w:firstLine="420"/>
    </w:pPr>
    <w:rPr>
      <w:szCs w:val="20"/>
    </w:rPr>
  </w:style>
  <w:style w:type="paragraph" w:styleId="15">
    <w:name w:val="toc 7"/>
    <w:basedOn w:val="1"/>
    <w:next w:val="1"/>
    <w:qFormat/>
    <w:uiPriority w:val="0"/>
    <w:pPr>
      <w:ind w:left="1260"/>
      <w:jc w:val="left"/>
    </w:pPr>
    <w:rPr>
      <w:rFonts w:ascii="Calibri" w:hAnsi="Calibri"/>
      <w:sz w:val="18"/>
      <w:szCs w:val="18"/>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keepNext/>
    </w:pPr>
    <w:rPr>
      <w:sz w:val="18"/>
      <w:szCs w:val="18"/>
    </w:rPr>
  </w:style>
  <w:style w:type="paragraph" w:styleId="18">
    <w:name w:val="Document Map"/>
    <w:basedOn w:val="1"/>
    <w:qFormat/>
    <w:uiPriority w:val="0"/>
    <w:pPr>
      <w:widowControl/>
      <w:shd w:val="clear" w:color="auto" w:fill="000080"/>
      <w:jc w:val="left"/>
    </w:pPr>
    <w:rPr>
      <w:kern w:val="0"/>
      <w:szCs w:val="20"/>
    </w:rPr>
  </w:style>
  <w:style w:type="paragraph" w:styleId="19">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72"/>
    <w:qFormat/>
    <w:uiPriority w:val="0"/>
    <w:pPr>
      <w:widowControl/>
      <w:jc w:val="left"/>
    </w:pPr>
    <w:rPr>
      <w:kern w:val="0"/>
      <w:szCs w:val="20"/>
    </w:rPr>
  </w:style>
  <w:style w:type="paragraph" w:styleId="21">
    <w:name w:val="Salutation"/>
    <w:basedOn w:val="1"/>
    <w:next w:val="1"/>
    <w:qFormat/>
    <w:uiPriority w:val="0"/>
  </w:style>
  <w:style w:type="paragraph" w:styleId="22">
    <w:name w:val="Body Text 3"/>
    <w:basedOn w:val="1"/>
    <w:qFormat/>
    <w:uiPriority w:val="0"/>
    <w:rPr>
      <w:sz w:val="16"/>
      <w:szCs w:val="16"/>
    </w:rPr>
  </w:style>
  <w:style w:type="paragraph" w:styleId="23">
    <w:name w:val="Body Text Indent"/>
    <w:basedOn w:val="1"/>
    <w:link w:val="73"/>
    <w:qFormat/>
    <w:uiPriority w:val="0"/>
    <w:pPr>
      <w:ind w:firstLine="830" w:firstLineChars="352"/>
    </w:pPr>
    <w:rPr>
      <w:rFonts w:ascii="仿宋_GB2312" w:eastAsia="仿宋_GB2312"/>
      <w:sz w:val="32"/>
      <w:szCs w:val="20"/>
    </w:rPr>
  </w:style>
  <w:style w:type="paragraph" w:styleId="24">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5">
    <w:name w:val="toc 3"/>
    <w:basedOn w:val="1"/>
    <w:next w:val="1"/>
    <w:qFormat/>
    <w:uiPriority w:val="0"/>
    <w:pPr>
      <w:tabs>
        <w:tab w:val="right" w:leader="dot" w:pos="9499"/>
      </w:tabs>
      <w:ind w:left="318" w:hanging="105"/>
    </w:pPr>
    <w:rPr>
      <w:szCs w:val="20"/>
    </w:r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ind w:left="1470"/>
      <w:jc w:val="left"/>
    </w:pPr>
    <w:rPr>
      <w:rFonts w:ascii="Calibri" w:hAnsi="Calibri"/>
      <w:sz w:val="18"/>
      <w:szCs w:val="18"/>
    </w:rPr>
  </w:style>
  <w:style w:type="paragraph" w:styleId="28">
    <w:name w:val="Date"/>
    <w:basedOn w:val="1"/>
    <w:next w:val="1"/>
    <w:qFormat/>
    <w:uiPriority w:val="0"/>
    <w:rPr>
      <w:rFonts w:ascii="楷体_GB2312" w:eastAsia="楷体_GB2312"/>
      <w:sz w:val="28"/>
      <w:szCs w:val="20"/>
    </w:rPr>
  </w:style>
  <w:style w:type="paragraph" w:styleId="29">
    <w:name w:val="Body Text Indent 2"/>
    <w:basedOn w:val="1"/>
    <w:qFormat/>
    <w:uiPriority w:val="0"/>
    <w:pPr>
      <w:spacing w:line="360" w:lineRule="auto"/>
      <w:ind w:firstLine="420"/>
    </w:pPr>
    <w:rPr>
      <w:szCs w:val="20"/>
    </w:rPr>
  </w:style>
  <w:style w:type="paragraph" w:styleId="30">
    <w:name w:val="Balloon Text"/>
    <w:basedOn w:val="1"/>
    <w:link w:val="75"/>
    <w:qFormat/>
    <w:uiPriority w:val="0"/>
    <w:pPr>
      <w:widowControl/>
      <w:jc w:val="left"/>
    </w:pPr>
    <w:rPr>
      <w:kern w:val="0"/>
      <w:sz w:val="18"/>
      <w:szCs w:val="18"/>
    </w:rPr>
  </w:style>
  <w:style w:type="paragraph" w:styleId="31">
    <w:name w:val="footer"/>
    <w:basedOn w:val="1"/>
    <w:link w:val="76"/>
    <w:qFormat/>
    <w:uiPriority w:val="99"/>
    <w:pPr>
      <w:tabs>
        <w:tab w:val="center" w:pos="4153"/>
        <w:tab w:val="right" w:pos="8306"/>
      </w:tabs>
      <w:snapToGrid w:val="0"/>
      <w:jc w:val="left"/>
    </w:pPr>
    <w:rPr>
      <w:sz w:val="18"/>
      <w:szCs w:val="18"/>
    </w:rPr>
  </w:style>
  <w:style w:type="paragraph" w:styleId="32">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
    <w:qFormat/>
    <w:uiPriority w:val="0"/>
    <w:pPr>
      <w:ind w:left="4320"/>
    </w:pPr>
    <w:rPr>
      <w:rFonts w:eastAsia="楷体_GB2312"/>
      <w:szCs w:val="20"/>
    </w:rPr>
  </w:style>
  <w:style w:type="paragraph" w:styleId="3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5">
    <w:name w:val="toc 4"/>
    <w:basedOn w:val="1"/>
    <w:next w:val="1"/>
    <w:qFormat/>
    <w:uiPriority w:val="0"/>
    <w:pPr>
      <w:ind w:left="630"/>
      <w:jc w:val="left"/>
    </w:pPr>
    <w:rPr>
      <w:rFonts w:ascii="Calibri" w:hAnsi="Calibri"/>
      <w:sz w:val="18"/>
      <w:szCs w:val="18"/>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qFormat/>
    <w:uiPriority w:val="0"/>
    <w:pPr>
      <w:adjustRightInd w:val="0"/>
      <w:jc w:val="left"/>
      <w:textAlignment w:val="baseline"/>
    </w:pPr>
    <w:rPr>
      <w:rFonts w:ascii="Arial" w:hAnsi="Arial" w:eastAsia="黑体"/>
      <w:spacing w:val="40"/>
      <w:kern w:val="0"/>
      <w:sz w:val="30"/>
      <w:szCs w:val="20"/>
      <w:u w:val="single"/>
    </w:rPr>
  </w:style>
  <w:style w:type="paragraph" w:styleId="39">
    <w:name w:val="footnote text"/>
    <w:basedOn w:val="1"/>
    <w:unhideWhenUsed/>
    <w:qFormat/>
    <w:uiPriority w:val="99"/>
    <w:pPr>
      <w:snapToGrid w:val="0"/>
      <w:jc w:val="left"/>
    </w:pPr>
    <w:rPr>
      <w:sz w:val="18"/>
      <w:szCs w:val="18"/>
    </w:rPr>
  </w:style>
  <w:style w:type="paragraph" w:styleId="40">
    <w:name w:val="toc 6"/>
    <w:basedOn w:val="1"/>
    <w:next w:val="1"/>
    <w:qFormat/>
    <w:uiPriority w:val="0"/>
    <w:pPr>
      <w:ind w:left="1050"/>
      <w:jc w:val="left"/>
    </w:pPr>
    <w:rPr>
      <w:rFonts w:ascii="Calibri" w:hAnsi="Calibri"/>
      <w:sz w:val="18"/>
      <w:szCs w:val="18"/>
    </w:rPr>
  </w:style>
  <w:style w:type="paragraph" w:styleId="41">
    <w:name w:val="Body Text Indent 3"/>
    <w:basedOn w:val="1"/>
    <w:qFormat/>
    <w:uiPriority w:val="0"/>
    <w:pPr>
      <w:spacing w:line="360" w:lineRule="auto"/>
      <w:ind w:firstLine="420" w:firstLineChars="200"/>
    </w:pPr>
    <w:rPr>
      <w:szCs w:val="20"/>
    </w:rPr>
  </w:style>
  <w:style w:type="paragraph" w:styleId="42">
    <w:name w:val="table of figures"/>
    <w:basedOn w:val="1"/>
    <w:next w:val="1"/>
    <w:qFormat/>
    <w:uiPriority w:val="0"/>
    <w:pPr>
      <w:ind w:left="840" w:leftChars="200" w:hanging="420" w:hangingChars="200"/>
    </w:pPr>
  </w:style>
  <w:style w:type="paragraph" w:styleId="43">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4">
    <w:name w:val="toc 9"/>
    <w:basedOn w:val="1"/>
    <w:next w:val="1"/>
    <w:qFormat/>
    <w:uiPriority w:val="0"/>
    <w:pPr>
      <w:ind w:left="1680"/>
      <w:jc w:val="left"/>
    </w:pPr>
    <w:rPr>
      <w:rFonts w:ascii="Calibri" w:hAnsi="Calibri"/>
      <w:sz w:val="18"/>
      <w:szCs w:val="18"/>
    </w:rPr>
  </w:style>
  <w:style w:type="paragraph" w:styleId="45">
    <w:name w:val="Body Text 2"/>
    <w:basedOn w:val="1"/>
    <w:qFormat/>
    <w:uiPriority w:val="0"/>
    <w:pPr>
      <w:widowControl/>
      <w:spacing w:line="360" w:lineRule="auto"/>
      <w:jc w:val="left"/>
    </w:pPr>
    <w:rPr>
      <w:rFonts w:ascii="宋体" w:hAnsi="宋体"/>
      <w:color w:val="000000"/>
      <w:kern w:val="0"/>
      <w:sz w:val="24"/>
      <w:szCs w:val="20"/>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Autospacing="1" w:afterAutospacing="1"/>
      <w:jc w:val="left"/>
    </w:pPr>
    <w:rPr>
      <w:rFonts w:ascii="宋体" w:hAnsi="宋体"/>
      <w:color w:val="000000"/>
      <w:kern w:val="0"/>
      <w:sz w:val="24"/>
    </w:rPr>
  </w:style>
  <w:style w:type="paragraph" w:styleId="48">
    <w:name w:val="Title"/>
    <w:basedOn w:val="1"/>
    <w:qFormat/>
    <w:uiPriority w:val="0"/>
    <w:pPr>
      <w:jc w:val="center"/>
      <w:outlineLvl w:val="0"/>
    </w:pPr>
    <w:rPr>
      <w:rFonts w:ascii="Arial" w:hAnsi="Arial" w:cs="Arial"/>
      <w:b/>
      <w:bCs/>
      <w:sz w:val="32"/>
      <w:szCs w:val="32"/>
    </w:rPr>
  </w:style>
  <w:style w:type="paragraph" w:styleId="49">
    <w:name w:val="annotation subject"/>
    <w:basedOn w:val="20"/>
    <w:next w:val="20"/>
    <w:link w:val="78"/>
    <w:qFormat/>
    <w:uiPriority w:val="0"/>
    <w:rPr>
      <w:b/>
      <w:bCs/>
    </w:rPr>
  </w:style>
  <w:style w:type="paragraph" w:styleId="50">
    <w:name w:val="Body Text First Indent 2"/>
    <w:basedOn w:val="23"/>
    <w:qFormat/>
    <w:uiPriority w:val="0"/>
    <w:pPr>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5"/>
    <w:qFormat/>
    <w:uiPriority w:val="0"/>
    <w:rPr>
      <w:rFonts w:eastAsia="宋体"/>
      <w:b/>
      <w:bCs/>
      <w:kern w:val="44"/>
      <w:sz w:val="44"/>
      <w:szCs w:val="44"/>
      <w:lang w:val="en-US" w:eastAsia="zh-CN" w:bidi="ar-SA"/>
    </w:rPr>
  </w:style>
  <w:style w:type="character" w:customStyle="1" w:styleId="63">
    <w:name w:val="标题 2 Char1"/>
    <w:link w:val="6"/>
    <w:qFormat/>
    <w:uiPriority w:val="0"/>
    <w:rPr>
      <w:rFonts w:ascii="Arial" w:hAnsi="Arial" w:eastAsia="黑体"/>
      <w:b/>
      <w:bCs/>
      <w:kern w:val="2"/>
      <w:sz w:val="32"/>
      <w:szCs w:val="32"/>
      <w:lang w:val="en-US" w:eastAsia="zh-CN" w:bidi="ar-SA"/>
    </w:rPr>
  </w:style>
  <w:style w:type="character" w:customStyle="1" w:styleId="64">
    <w:name w:val="正文缩进 Char"/>
    <w:link w:val="7"/>
    <w:qFormat/>
    <w:uiPriority w:val="0"/>
    <w:rPr>
      <w:rFonts w:eastAsia="宋体"/>
      <w:kern w:val="2"/>
      <w:sz w:val="21"/>
      <w:lang w:val="en-US" w:eastAsia="zh-CN" w:bidi="ar-SA"/>
    </w:rPr>
  </w:style>
  <w:style w:type="character" w:customStyle="1" w:styleId="65">
    <w:name w:val="标题 3 Char"/>
    <w:link w:val="8"/>
    <w:qFormat/>
    <w:uiPriority w:val="0"/>
    <w:rPr>
      <w:rFonts w:eastAsia="宋体"/>
      <w:b/>
      <w:bCs/>
      <w:kern w:val="2"/>
      <w:sz w:val="32"/>
      <w:szCs w:val="32"/>
      <w:lang w:val="en-US" w:eastAsia="zh-CN" w:bidi="ar-SA"/>
    </w:rPr>
  </w:style>
  <w:style w:type="character" w:customStyle="1" w:styleId="66">
    <w:name w:val="标题 4 Char"/>
    <w:link w:val="9"/>
    <w:qFormat/>
    <w:uiPriority w:val="0"/>
    <w:rPr>
      <w:rFonts w:ascii="Arial" w:hAnsi="Arial" w:eastAsia="黑体"/>
      <w:b/>
      <w:bCs/>
      <w:kern w:val="2"/>
      <w:sz w:val="28"/>
      <w:szCs w:val="28"/>
      <w:lang w:val="en-US" w:eastAsia="zh-CN" w:bidi="ar-SA"/>
    </w:rPr>
  </w:style>
  <w:style w:type="character" w:customStyle="1" w:styleId="67">
    <w:name w:val="标题 5 Char"/>
    <w:link w:val="10"/>
    <w:qFormat/>
    <w:uiPriority w:val="0"/>
    <w:rPr>
      <w:rFonts w:ascii="宋体" w:eastAsia="宋体"/>
      <w:b/>
      <w:snapToGrid w:val="0"/>
      <w:color w:val="000000"/>
      <w:sz w:val="28"/>
      <w:lang w:val="en-US" w:eastAsia="zh-CN" w:bidi="ar-SA"/>
    </w:rPr>
  </w:style>
  <w:style w:type="character" w:customStyle="1" w:styleId="68">
    <w:name w:val="标题 6 Char"/>
    <w:link w:val="11"/>
    <w:qFormat/>
    <w:uiPriority w:val="0"/>
    <w:rPr>
      <w:rFonts w:ascii="Arial" w:hAnsi="Arial" w:eastAsia="黑体"/>
      <w:b/>
      <w:snapToGrid w:val="0"/>
      <w:color w:val="000000"/>
      <w:sz w:val="24"/>
      <w:lang w:val="en-US" w:eastAsia="zh-CN" w:bidi="ar-SA"/>
    </w:rPr>
  </w:style>
  <w:style w:type="character" w:customStyle="1" w:styleId="69">
    <w:name w:val="标题 7 Char"/>
    <w:link w:val="12"/>
    <w:qFormat/>
    <w:uiPriority w:val="0"/>
    <w:rPr>
      <w:rFonts w:ascii="宋体" w:eastAsia="宋体"/>
      <w:b/>
      <w:snapToGrid w:val="0"/>
      <w:color w:val="000000"/>
      <w:sz w:val="24"/>
      <w:lang w:val="en-US" w:eastAsia="zh-CN" w:bidi="ar-SA"/>
    </w:rPr>
  </w:style>
  <w:style w:type="character" w:customStyle="1" w:styleId="70">
    <w:name w:val="标题 8 Char"/>
    <w:link w:val="13"/>
    <w:qFormat/>
    <w:uiPriority w:val="0"/>
    <w:rPr>
      <w:rFonts w:ascii="Arial" w:hAnsi="Arial" w:eastAsia="黑体"/>
      <w:snapToGrid w:val="0"/>
      <w:color w:val="000000"/>
      <w:sz w:val="24"/>
      <w:lang w:val="en-US" w:eastAsia="zh-CN" w:bidi="ar-SA"/>
    </w:rPr>
  </w:style>
  <w:style w:type="character" w:customStyle="1" w:styleId="71">
    <w:name w:val="标题 9 Char"/>
    <w:link w:val="14"/>
    <w:qFormat/>
    <w:uiPriority w:val="0"/>
    <w:rPr>
      <w:rFonts w:ascii="Arial" w:hAnsi="Arial" w:eastAsia="黑体"/>
      <w:snapToGrid w:val="0"/>
      <w:color w:val="000000"/>
      <w:sz w:val="21"/>
      <w:lang w:val="en-US" w:eastAsia="zh-CN" w:bidi="ar-SA"/>
    </w:rPr>
  </w:style>
  <w:style w:type="character" w:customStyle="1" w:styleId="72">
    <w:name w:val="批注文字 Char"/>
    <w:link w:val="20"/>
    <w:qFormat/>
    <w:uiPriority w:val="0"/>
    <w:rPr>
      <w:rFonts w:eastAsia="宋体"/>
      <w:sz w:val="21"/>
      <w:lang w:val="en-US" w:eastAsia="zh-CN" w:bidi="ar-SA"/>
    </w:rPr>
  </w:style>
  <w:style w:type="character" w:customStyle="1" w:styleId="73">
    <w:name w:val="正文文本缩进 Char"/>
    <w:link w:val="23"/>
    <w:qFormat/>
    <w:uiPriority w:val="0"/>
    <w:rPr>
      <w:rFonts w:ascii="仿宋_GB2312" w:eastAsia="仿宋_GB2312"/>
      <w:kern w:val="2"/>
      <w:sz w:val="32"/>
      <w:lang w:val="en-US" w:eastAsia="zh-CN" w:bidi="ar-SA"/>
    </w:rPr>
  </w:style>
  <w:style w:type="character" w:customStyle="1" w:styleId="74">
    <w:name w:val="纯文本 Char"/>
    <w:link w:val="26"/>
    <w:qFormat/>
    <w:uiPriority w:val="0"/>
    <w:rPr>
      <w:rFonts w:ascii="宋体" w:hAnsi="Courier New" w:eastAsia="宋体" w:cs="Courier New"/>
      <w:kern w:val="2"/>
      <w:sz w:val="21"/>
      <w:szCs w:val="21"/>
      <w:lang w:val="en-US" w:eastAsia="zh-CN" w:bidi="ar-SA"/>
    </w:rPr>
  </w:style>
  <w:style w:type="character" w:customStyle="1" w:styleId="75">
    <w:name w:val="批注框文本 Char"/>
    <w:link w:val="30"/>
    <w:qFormat/>
    <w:locked/>
    <w:uiPriority w:val="0"/>
    <w:rPr>
      <w:sz w:val="18"/>
      <w:szCs w:val="18"/>
    </w:rPr>
  </w:style>
  <w:style w:type="character" w:customStyle="1" w:styleId="76">
    <w:name w:val="页脚 Char"/>
    <w:link w:val="31"/>
    <w:qFormat/>
    <w:uiPriority w:val="0"/>
    <w:rPr>
      <w:rFonts w:eastAsia="宋体"/>
      <w:kern w:val="2"/>
      <w:sz w:val="18"/>
      <w:szCs w:val="18"/>
      <w:lang w:val="en-US" w:eastAsia="zh-CN" w:bidi="ar-SA"/>
    </w:rPr>
  </w:style>
  <w:style w:type="character" w:customStyle="1" w:styleId="77">
    <w:name w:val="页眉 Char1"/>
    <w:link w:val="32"/>
    <w:qFormat/>
    <w:uiPriority w:val="0"/>
    <w:rPr>
      <w:rFonts w:eastAsia="宋体"/>
      <w:kern w:val="2"/>
      <w:sz w:val="18"/>
      <w:szCs w:val="18"/>
      <w:lang w:val="en-US" w:eastAsia="zh-CN" w:bidi="ar-SA"/>
    </w:rPr>
  </w:style>
  <w:style w:type="character" w:customStyle="1" w:styleId="78">
    <w:name w:val="批注主题 Char"/>
    <w:link w:val="49"/>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Char Char7"/>
    <w:qFormat/>
    <w:uiPriority w:val="0"/>
    <w:rPr>
      <w:rFonts w:ascii="宋体" w:eastAsia="宋体"/>
      <w:b/>
      <w:snapToGrid w:val="0"/>
      <w:color w:val="000000"/>
      <w:sz w:val="24"/>
      <w:lang w:val="en-US" w:eastAsia="zh-CN" w:bidi="ar-SA"/>
    </w:rPr>
  </w:style>
  <w:style w:type="character" w:customStyle="1" w:styleId="96">
    <w:name w:val="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line="360" w:lineRule="auto"/>
      <w:ind w:firstLine="480" w:firstLineChars="200"/>
    </w:pPr>
    <w:rPr>
      <w:rFonts w:ascii="宋体"/>
      <w:kern w:val="0"/>
      <w:sz w:val="24"/>
      <w:szCs w:val="28"/>
    </w:rPr>
  </w:style>
  <w:style w:type="character" w:customStyle="1" w:styleId="133">
    <w:name w:val="列出段落 Char"/>
    <w:link w:val="61"/>
    <w:qFormat/>
    <w:locked/>
    <w:uiPriority w:val="34"/>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Autospacing="1"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7"/>
    <w:link w:val="161"/>
    <w:qFormat/>
    <w:uiPriority w:val="0"/>
    <w:pPr>
      <w:spacing w:line="360" w:lineRule="auto"/>
      <w:ind w:firstLine="480" w:firstLineChars="200"/>
    </w:pPr>
    <w:rPr>
      <w:sz w:val="24"/>
    </w:rPr>
  </w:style>
  <w:style w:type="character" w:customStyle="1" w:styleId="163">
    <w:name w:val="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5"/>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6"/>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Autospacing="1"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3"/>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5"/>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line="240" w:lineRule="exact"/>
      <w:jc w:val="left"/>
    </w:pPr>
    <w:rPr>
      <w:szCs w:val="20"/>
    </w:rPr>
  </w:style>
  <w:style w:type="paragraph" w:customStyle="1" w:styleId="186">
    <w:name w:val="四级条标题"/>
    <w:basedOn w:val="187"/>
    <w:next w:val="9"/>
    <w:qFormat/>
    <w:uiPriority w:val="0"/>
    <w:pPr>
      <w:outlineLvl w:val="5"/>
    </w:pPr>
  </w:style>
  <w:style w:type="paragraph" w:customStyle="1" w:styleId="187">
    <w:name w:val="三级条标题"/>
    <w:basedOn w:val="188"/>
    <w:next w:val="9"/>
    <w:qFormat/>
    <w:uiPriority w:val="0"/>
    <w:pPr>
      <w:ind w:left="0"/>
      <w:outlineLvl w:val="4"/>
    </w:pPr>
  </w:style>
  <w:style w:type="paragraph" w:customStyle="1" w:styleId="188">
    <w:name w:val="二级条标题"/>
    <w:basedOn w:val="189"/>
    <w:next w:val="9"/>
    <w:qFormat/>
    <w:uiPriority w:val="0"/>
    <w:pPr>
      <w:ind w:left="540"/>
      <w:outlineLvl w:val="3"/>
    </w:pPr>
  </w:style>
  <w:style w:type="paragraph" w:customStyle="1" w:styleId="189">
    <w:name w:val="一级条标题"/>
    <w:basedOn w:val="190"/>
    <w:next w:val="9"/>
    <w:qFormat/>
    <w:uiPriority w:val="0"/>
    <w:pPr>
      <w:spacing w:beforeLines="0" w:afterLines="0"/>
      <w:ind w:left="0"/>
      <w:outlineLvl w:val="2"/>
    </w:pPr>
  </w:style>
  <w:style w:type="paragraph" w:customStyle="1" w:styleId="190">
    <w:name w:val="章标题"/>
    <w:next w:val="9"/>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4">
    <w:name w:val="样式 标题 5 + 宋体"/>
    <w:basedOn w:val="10"/>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Lines="50"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Char1 Char Char Char1"/>
    <w:basedOn w:val="1"/>
    <w:qFormat/>
    <w:uiPriority w:val="0"/>
    <w:pPr>
      <w:widowControl/>
      <w:spacing w:line="240" w:lineRule="exact"/>
      <w:jc w:val="left"/>
    </w:pPr>
    <w:rPr>
      <w:kern w:val="0"/>
      <w:szCs w:val="20"/>
    </w:rPr>
  </w:style>
  <w:style w:type="paragraph" w:customStyle="1" w:styleId="211">
    <w:name w:val="xl32"/>
    <w:basedOn w:val="1"/>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18">
    <w:name w:val="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0">
    <w:name w:val="Char Char Char Char Char Char Char Char Char Char"/>
    <w:basedOn w:val="18"/>
    <w:qFormat/>
    <w:uiPriority w:val="0"/>
    <w:pPr>
      <w:widowControl w:val="0"/>
      <w:jc w:val="both"/>
    </w:pPr>
    <w:rPr>
      <w:kern w:val="2"/>
      <w:szCs w:val="24"/>
    </w:rPr>
  </w:style>
  <w:style w:type="paragraph" w:customStyle="1" w:styleId="221">
    <w:name w:val="正文样式"/>
    <w:basedOn w:val="1"/>
    <w:qFormat/>
    <w:uiPriority w:val="0"/>
    <w:pPr>
      <w:tabs>
        <w:tab w:val="left" w:pos="630"/>
      </w:tabs>
      <w:spacing w:line="300" w:lineRule="auto"/>
      <w:ind w:left="630" w:hanging="630"/>
    </w:pPr>
    <w:rPr>
      <w:rFonts w:ascii="宋体"/>
      <w:sz w:val="24"/>
    </w:rPr>
  </w:style>
  <w:style w:type="paragraph" w:customStyle="1" w:styleId="222">
    <w:name w:val="xl62"/>
    <w:basedOn w:val="1"/>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Lines="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6">
    <w:name w:val="1.1 标题"/>
    <w:basedOn w:val="5"/>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8"/>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Autospacing="1" w:afterAutospacing="1"/>
      <w:jc w:val="center"/>
    </w:pPr>
    <w:rPr>
      <w:rFonts w:ascii="宋体" w:hAnsi="宋体" w:cs="宋体"/>
      <w:kern w:val="0"/>
      <w:sz w:val="24"/>
    </w:rPr>
  </w:style>
  <w:style w:type="paragraph" w:customStyle="1" w:styleId="232">
    <w:name w:val="正文1"/>
    <w:basedOn w:val="1"/>
    <w:qFormat/>
    <w:uiPriority w:val="0"/>
    <w:pPr>
      <w:spacing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8"/>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39">
    <w:name w:val="Char Char2 Char Char Char Char"/>
    <w:basedOn w:val="1"/>
    <w:qFormat/>
    <w:uiPriority w:val="0"/>
    <w:pPr>
      <w:widowControl/>
      <w:spacing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Lines="50" w:afterLines="50" w:line="240" w:lineRule="atLeast"/>
      <w:ind w:firstLine="200" w:firstLineChars="200"/>
    </w:pPr>
    <w:rPr>
      <w:rFonts w:ascii="Arial" w:hAnsi="Arial"/>
      <w:sz w:val="24"/>
    </w:rPr>
  </w:style>
  <w:style w:type="paragraph" w:customStyle="1" w:styleId="245">
    <w:name w:val="表格文字"/>
    <w:basedOn w:val="1"/>
    <w:qFormat/>
    <w:uiPriority w:val="0"/>
    <w:pPr>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Autospacing="1"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Autospacing="1"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8"/>
    <w:qFormat/>
    <w:uiPriority w:val="0"/>
    <w:pPr>
      <w:keepNext w:val="0"/>
      <w:keepLines w:val="0"/>
      <w:spacing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6"/>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8"/>
    <w:qFormat/>
    <w:uiPriority w:val="0"/>
    <w:pPr>
      <w:ind w:left="210" w:leftChars="100" w:right="210" w:rightChars="100"/>
      <w:jc w:val="left"/>
    </w:pPr>
    <w:rPr>
      <w:rFonts w:ascii="宋体" w:hAnsi="宋体"/>
      <w:kern w:val="0"/>
    </w:rPr>
  </w:style>
  <w:style w:type="paragraph" w:customStyle="1" w:styleId="262">
    <w:name w:val="QB表内文字"/>
    <w:basedOn w:val="9"/>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Autospacing="1"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Autospacing="1"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Autospacing="1"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4"/>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Lines="50"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Autospacing="1" w:afterAutospacing="1"/>
      <w:jc w:val="left"/>
    </w:pPr>
    <w:rPr>
      <w:rFonts w:hint="eastAsia" w:ascii="宋体" w:hAnsi="宋体" w:cs="Arial Unicode MS"/>
      <w:kern w:val="0"/>
      <w:sz w:val="24"/>
    </w:rPr>
  </w:style>
  <w:style w:type="paragraph" w:customStyle="1" w:styleId="286">
    <w:name w:val="Char11"/>
    <w:basedOn w:val="1"/>
    <w:qFormat/>
    <w:uiPriority w:val="0"/>
    <w:pPr>
      <w:widowControl/>
      <w:spacing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Autospacing="1" w:afterAutospacing="1"/>
      <w:jc w:val="left"/>
    </w:pPr>
    <w:rPr>
      <w:rFonts w:ascii="宋体" w:hAnsi="宋体" w:cs="宋体"/>
      <w:kern w:val="0"/>
      <w:sz w:val="24"/>
    </w:rPr>
  </w:style>
  <w:style w:type="paragraph" w:customStyle="1" w:styleId="289">
    <w:name w:val="Char Char Char Char Char Char"/>
    <w:basedOn w:val="1"/>
    <w:qFormat/>
    <w:uiPriority w:val="0"/>
    <w:rPr>
      <w:rFonts w:ascii="Tahoma" w:hAnsi="Tahoma"/>
      <w:sz w:val="24"/>
      <w:szCs w:val="20"/>
    </w:rPr>
  </w:style>
  <w:style w:type="paragraph" w:customStyle="1" w:styleId="290">
    <w:name w:val="Char Char Char Char Char Char Char Char Char Char Char Char Char Char Char Char1"/>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pPr>
    <w:rPr>
      <w:rFonts w:ascii="宋体"/>
      <w:b/>
      <w:sz w:val="28"/>
    </w:rPr>
  </w:style>
  <w:style w:type="paragraph" w:customStyle="1" w:styleId="297">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Autospacing="1"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1">
    <w:name w:val="Char Char24 Char Char Char Char"/>
    <w:basedOn w:val="1"/>
    <w:qFormat/>
    <w:uiPriority w:val="0"/>
    <w:pPr>
      <w:widowControl/>
      <w:spacing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5">
    <w:name w:val="Char2"/>
    <w:basedOn w:val="1"/>
    <w:qFormat/>
    <w:uiPriority w:val="0"/>
    <w:pPr>
      <w:widowControl/>
      <w:spacing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2">
    <w:name w:val="样式2"/>
    <w:basedOn w:val="6"/>
    <w:qFormat/>
    <w:uiPriority w:val="0"/>
    <w:pPr>
      <w:jc w:val="center"/>
    </w:pPr>
    <w:rPr>
      <w:rFonts w:eastAsia="华文中宋"/>
      <w:sz w:val="36"/>
      <w:szCs w:val="36"/>
    </w:rPr>
  </w:style>
  <w:style w:type="paragraph" w:customStyle="1" w:styleId="313">
    <w:name w:val="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6"/>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Autospacing="1"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Autospacing="1"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2">
    <w:name w:val="_Style 321"/>
    <w:basedOn w:val="5"/>
    <w:next w:val="1"/>
    <w:qFormat/>
    <w:uiPriority w:val="0"/>
    <w:pPr>
      <w:widowControl/>
      <w:spacing w:line="276" w:lineRule="auto"/>
      <w:jc w:val="left"/>
      <w:outlineLvl w:val="9"/>
    </w:pPr>
    <w:rPr>
      <w:rFonts w:ascii="Cambria" w:hAnsi="Cambria"/>
      <w:color w:val="365F91"/>
      <w:kern w:val="0"/>
      <w:sz w:val="28"/>
      <w:szCs w:val="28"/>
    </w:rPr>
  </w:style>
  <w:style w:type="paragraph" w:customStyle="1" w:styleId="323">
    <w:name w:val="正文2"/>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5">
    <w:name w:val="Char Char Char1 Char"/>
    <w:basedOn w:val="18"/>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Autospacing="1"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0">
    <w:name w:val="Char1"/>
    <w:basedOn w:val="18"/>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line="300" w:lineRule="auto"/>
      <w:ind w:firstLine="527"/>
      <w:jc w:val="left"/>
    </w:pPr>
    <w:rPr>
      <w:w w:val="105"/>
      <w:kern w:val="0"/>
      <w:sz w:val="24"/>
      <w:szCs w:val="20"/>
    </w:rPr>
  </w:style>
  <w:style w:type="paragraph" w:customStyle="1" w:styleId="333">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5">
    <w:name w:val="Char Char"/>
    <w:basedOn w:val="1"/>
    <w:qFormat/>
    <w:uiPriority w:val="0"/>
    <w:rPr>
      <w:rFonts w:ascii="宋体" w:hAnsi="宋体"/>
      <w:b/>
      <w:sz w:val="28"/>
      <w:szCs w:val="28"/>
    </w:rPr>
  </w:style>
  <w:style w:type="paragraph" w:customStyle="1" w:styleId="336">
    <w:name w:val="xl57"/>
    <w:basedOn w:val="1"/>
    <w:qFormat/>
    <w:uiPriority w:val="0"/>
    <w:pPr>
      <w:widowControl/>
      <w:spacing w:beforeAutospacing="1"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0">
    <w:name w:val="Char12"/>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line="240" w:lineRule="exact"/>
      <w:jc w:val="left"/>
    </w:pPr>
    <w:rPr>
      <w:kern w:val="0"/>
      <w:szCs w:val="20"/>
    </w:rPr>
  </w:style>
  <w:style w:type="paragraph" w:customStyle="1" w:styleId="343">
    <w:name w:val="保留正文"/>
    <w:basedOn w:val="3"/>
    <w:qFormat/>
    <w:uiPriority w:val="0"/>
    <w:pPr>
      <w:keepNext/>
      <w:spacing w:line="240" w:lineRule="auto"/>
    </w:pPr>
    <w:rPr>
      <w:szCs w:val="24"/>
    </w:rPr>
  </w:style>
  <w:style w:type="paragraph" w:customStyle="1" w:styleId="344">
    <w:name w:val="font9"/>
    <w:basedOn w:val="1"/>
    <w:qFormat/>
    <w:uiPriority w:val="0"/>
    <w:pPr>
      <w:widowControl/>
      <w:spacing w:beforeAutospacing="1"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Autospacing="1"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Autospacing="1"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line="240" w:lineRule="exact"/>
      <w:jc w:val="left"/>
    </w:pPr>
  </w:style>
  <w:style w:type="paragraph" w:customStyle="1" w:styleId="353">
    <w:name w:val="Char Char8 Char Char"/>
    <w:basedOn w:val="1"/>
    <w:qFormat/>
    <w:uiPriority w:val="0"/>
    <w:pPr>
      <w:widowControl/>
      <w:spacing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99"/>
    <w:pPr>
      <w:widowControl/>
      <w:ind w:firstLine="420" w:firstLineChars="200"/>
      <w:jc w:val="left"/>
    </w:pPr>
    <w:rPr>
      <w:kern w:val="0"/>
      <w:szCs w:val="20"/>
    </w:rPr>
  </w:style>
  <w:style w:type="paragraph" w:customStyle="1" w:styleId="356">
    <w:name w:val="a03"/>
    <w:basedOn w:val="1"/>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35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Autospacing="1"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1">
    <w:name w:val="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3">
    <w:name w:val="签名 - 公司"/>
    <w:basedOn w:val="33"/>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Autospacing="1"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2"/>
    <w:next w:val="2"/>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78">
    <w:name w:val="Char Char2 Char"/>
    <w:basedOn w:val="1"/>
    <w:qFormat/>
    <w:uiPriority w:val="0"/>
    <w:rPr>
      <w:rFonts w:ascii="宋体" w:hAnsi="宋体"/>
      <w:b/>
      <w:sz w:val="28"/>
      <w:szCs w:val="28"/>
    </w:rPr>
  </w:style>
  <w:style w:type="paragraph" w:customStyle="1" w:styleId="379">
    <w:name w:val="text"/>
    <w:basedOn w:val="1"/>
    <w:qFormat/>
    <w:uiPriority w:val="0"/>
    <w:pPr>
      <w:widowControl/>
      <w:spacing w:beforeAutospacing="1"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Autospacing="1"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cs="宋体"/>
      <w:sz w:val="18"/>
      <w:szCs w:val="18"/>
      <w:lang w:val="zh-TW" w:eastAsia="zh-TW" w:bidi="zh-TW"/>
    </w:rPr>
  </w:style>
  <w:style w:type="paragraph" w:customStyle="1" w:styleId="388">
    <w:name w:val="Table Paragraph"/>
    <w:basedOn w:val="1"/>
    <w:qFormat/>
    <w:uiPriority w:val="1"/>
    <w:rPr>
      <w:rFonts w:ascii="宋体" w:hAnsi="宋体" w:cs="宋体"/>
      <w:lang w:val="zh-CN" w:bidi="zh-CN"/>
    </w:rPr>
  </w:style>
  <w:style w:type="paragraph" w:customStyle="1" w:styleId="38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Pages>
  <Words>7693</Words>
  <Characters>8018</Characters>
  <Lines>35</Lines>
  <Paragraphs>9</Paragraphs>
  <TotalTime>3</TotalTime>
  <ScaleCrop>false</ScaleCrop>
  <LinksUpToDate>false</LinksUpToDate>
  <CharactersWithSpaces>8320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2021-12-17T01:00:00Z</cp:lastPrinted>
  <dcterms:modified xsi:type="dcterms:W3CDTF">2022-12-12T07:44:04Z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E48D863347874302B460289EA1F58C5C</vt:lpwstr>
  </property>
</Properties>
</file>