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cs="宋体"/>
          <w:b/>
          <w:bCs/>
          <w:color w:val="auto"/>
          <w:sz w:val="36"/>
          <w:szCs w:val="36"/>
          <w:highlight w:val="none"/>
          <w:lang w:val="en-US" w:eastAsia="zh-CN"/>
        </w:rPr>
        <w:t>0</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1.项目名称：中山市小榄人民医院潮气呼吸一氧化氮检测仪</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潮气呼吸一氧化氮检测仪</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递交响应文件截止时间：2022年1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六、预审通过后，采购人以电子邮件方式通知供应商进入下一阶段流程。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2022年11月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应该符合《医疗器械经营质量管理规范》和《医疗器械监督管理条例》规定，并结合本项目特性提供有效的医疗器械产品注册/备案证明材料和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的经营许可/备案证明材料。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本文的“质保期”是指</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标的物经约定的验收机构完成验收之日起算，截止</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人承诺的期限。</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基本需求</w:t>
      </w:r>
    </w:p>
    <w:tbl>
      <w:tblPr>
        <w:tblStyle w:val="1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226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需求科室/部门</w:t>
            </w:r>
          </w:p>
        </w:tc>
        <w:tc>
          <w:tcPr>
            <w:tcW w:w="250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潮气呼吸一氧化氮检测仪</w:t>
            </w:r>
          </w:p>
        </w:tc>
        <w:tc>
          <w:tcPr>
            <w:tcW w:w="226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儿内呼吸一区</w:t>
            </w:r>
          </w:p>
        </w:tc>
        <w:tc>
          <w:tcPr>
            <w:tcW w:w="250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4"/>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核心产品：</w:t>
      </w:r>
      <w:r>
        <w:rPr>
          <w:rFonts w:hint="eastAsia" w:ascii="宋体" w:hAnsi="宋体" w:eastAsia="宋体" w:cs="宋体"/>
          <w:color w:val="000000" w:themeColor="text1"/>
          <w:sz w:val="24"/>
          <w:lang w:val="en-US" w:eastAsia="zh-CN"/>
          <w14:textFill>
            <w14:solidFill>
              <w14:schemeClr w14:val="tx1"/>
            </w14:solidFill>
          </w14:textFill>
        </w:rPr>
        <w:t>一氧化氮检测仪</w:t>
      </w:r>
    </w:p>
    <w:p>
      <w:pPr>
        <w:spacing w:line="44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用途：</w:t>
      </w:r>
      <w:r>
        <w:rPr>
          <w:rFonts w:hint="eastAsia" w:ascii="宋体" w:hAnsi="宋体" w:eastAsia="宋体" w:cs="宋体"/>
          <w:color w:val="000000" w:themeColor="text1"/>
          <w:sz w:val="24"/>
          <w:lang w:val="en-US" w:eastAsia="zh-CN"/>
          <w14:textFill>
            <w14:solidFill>
              <w14:schemeClr w14:val="tx1"/>
            </w14:solidFill>
          </w14:textFill>
        </w:rPr>
        <w:t>呼出气一氧化氮检测是评估气道炎症性疾病的一种实时方法，具有定量、非侵入式、简单、安全的特点。一氧化氮测定向患者提供了包括嗜酸性气道炎症的直接检测、糖皮质激素应答评估、监测气道炎症并选择合适的激素治疗方案以及提示激素抵抗性治疗方案，能更好为哮喘治疗的疗效评估。</w:t>
      </w:r>
    </w:p>
    <w:p>
      <w:pPr>
        <w:pStyle w:val="2"/>
        <w:rPr>
          <w:rFonts w:hint="eastAsia"/>
        </w:rPr>
      </w:pP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技术参数：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7508"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7508" w:type="dxa"/>
            <w:vAlign w:val="top"/>
          </w:tcPr>
          <w:p>
            <w:pPr>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检测原理：电化学检测原理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传感器类型：电化学传感器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传感器原理：电解质电池原理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测定参数：CaNO、FeNO、FnNO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▲测定范围：1-3500ppb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测定</w:t>
            </w:r>
            <w:r>
              <w:rPr>
                <w:rFonts w:hint="eastAsia" w:ascii="宋体" w:hAnsi="宋体" w:eastAsia="宋体" w:cs="宋体"/>
                <w:color w:val="000000" w:themeColor="text1"/>
                <w:sz w:val="24"/>
                <w14:textFill>
                  <w14:solidFill>
                    <w14:schemeClr w14:val="tx1"/>
                  </w14:solidFill>
                </w14:textFill>
              </w:rPr>
              <w:t>误差</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测量结果重复性≤5%。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▲自动恒定呼气流量：</w:t>
            </w:r>
            <w:r>
              <w:rPr>
                <w:rFonts w:hint="eastAsia" w:ascii="宋体" w:hAnsi="宋体" w:eastAsia="宋体" w:cs="宋体"/>
                <w:color w:val="000000" w:themeColor="text1"/>
                <w:sz w:val="24"/>
                <w:lang w:val="en-US" w:eastAsia="zh-CN"/>
                <w14:textFill>
                  <w14:solidFill>
                    <w14:schemeClr w14:val="tx1"/>
                  </w14:solidFill>
                </w14:textFill>
              </w:rPr>
              <w:t>有</w:t>
            </w:r>
            <w:r>
              <w:rPr>
                <w:rFonts w:hint="eastAsia" w:ascii="宋体" w:hAnsi="宋体" w:eastAsia="宋体" w:cs="宋体"/>
                <w:color w:val="000000" w:themeColor="text1"/>
                <w:sz w:val="24"/>
                <w14:textFill>
                  <w14:solidFill>
                    <w14:schemeClr w14:val="tx1"/>
                  </w14:solidFill>
                </w14:textFill>
              </w:rPr>
              <w:t>恒流控制系统，在</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-3kPa任意变化的呼气压力下，均可保证患者呼出流量保持稳定在50ml/s±1</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%或200ml/s±1</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一氧化氮</w:t>
            </w:r>
            <w:r>
              <w:rPr>
                <w:rFonts w:hint="eastAsia" w:ascii="宋体" w:hAnsi="宋体" w:eastAsia="宋体" w:cs="宋体"/>
                <w:color w:val="000000" w:themeColor="text1"/>
                <w:sz w:val="24"/>
                <w14:textFill>
                  <w14:solidFill>
                    <w14:schemeClr w14:val="tx1"/>
                  </w14:solidFill>
                </w14:textFill>
              </w:rPr>
              <w:t>过滤功能：</w:t>
            </w:r>
            <w:r>
              <w:rPr>
                <w:rFonts w:hint="eastAsia" w:ascii="宋体" w:hAnsi="宋体" w:eastAsia="宋体" w:cs="宋体"/>
                <w:color w:val="000000" w:themeColor="text1"/>
                <w:sz w:val="24"/>
                <w:lang w:val="en-US" w:eastAsia="zh-CN"/>
                <w14:textFill>
                  <w14:solidFill>
                    <w14:schemeClr w14:val="tx1"/>
                  </w14:solidFill>
                </w14:textFill>
              </w:rPr>
              <w:t>有</w:t>
            </w:r>
            <w:r>
              <w:rPr>
                <w:rFonts w:hint="eastAsia" w:ascii="宋体" w:hAnsi="宋体" w:eastAsia="宋体" w:cs="宋体"/>
                <w:color w:val="000000" w:themeColor="text1"/>
                <w:sz w:val="24"/>
                <w14:textFill>
                  <w14:solidFill>
                    <w14:schemeClr w14:val="tx1"/>
                  </w14:solidFill>
                </w14:textFill>
              </w:rPr>
              <w:t>过滤外源性NO</w:t>
            </w:r>
            <w:r>
              <w:rPr>
                <w:rFonts w:hint="eastAsia" w:ascii="宋体" w:hAnsi="宋体" w:eastAsia="宋体" w:cs="宋体"/>
                <w:color w:val="000000" w:themeColor="text1"/>
                <w:sz w:val="24"/>
                <w:lang w:val="en-US" w:eastAsia="zh-CN"/>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训练模式：</w:t>
            </w:r>
            <w:r>
              <w:rPr>
                <w:rFonts w:hint="eastAsia" w:ascii="宋体" w:hAnsi="宋体" w:eastAsia="宋体" w:cs="宋体"/>
                <w:color w:val="000000" w:themeColor="text1"/>
                <w:sz w:val="24"/>
                <w:lang w:val="en-US" w:eastAsia="zh-CN"/>
                <w14:textFill>
                  <w14:solidFill>
                    <w14:schemeClr w14:val="tx1"/>
                  </w14:solidFill>
                </w14:textFill>
              </w:rPr>
              <w:t>有</w:t>
            </w:r>
            <w:r>
              <w:rPr>
                <w:rFonts w:hint="eastAsia" w:ascii="宋体" w:hAnsi="宋体" w:eastAsia="宋体" w:cs="宋体"/>
                <w:color w:val="000000" w:themeColor="text1"/>
                <w:sz w:val="24"/>
                <w14:textFill>
                  <w14:solidFill>
                    <w14:schemeClr w14:val="tx1"/>
                  </w14:solidFill>
                </w14:textFill>
              </w:rPr>
              <w:t>训练模式</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进行呼气训练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▲智能温湿度控制</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：有智能温湿度调节</w:t>
            </w:r>
            <w:r>
              <w:rPr>
                <w:rFonts w:hint="eastAsia" w:ascii="宋体" w:hAnsi="宋体" w:eastAsia="宋体" w:cs="宋体"/>
                <w:color w:val="000000" w:themeColor="text1"/>
                <w:sz w:val="24"/>
                <w:lang w:val="en-US" w:eastAsia="zh-CN"/>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▲防冷凝</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：有防冷凝设计</w:t>
            </w:r>
            <w:r>
              <w:rPr>
                <w:rFonts w:hint="eastAsia" w:ascii="宋体" w:hAnsi="宋体" w:eastAsia="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具备6岁至15岁儿童呼出气体</w:t>
            </w:r>
            <w:r>
              <w:rPr>
                <w:rFonts w:hint="eastAsia" w:ascii="宋体" w:hAnsi="宋体" w:eastAsia="宋体" w:cs="宋体"/>
                <w:color w:val="000000" w:themeColor="text1"/>
                <w:sz w:val="24"/>
                <w14:textFill>
                  <w14:solidFill>
                    <w14:schemeClr w14:val="tx1"/>
                  </w14:solidFill>
                </w14:textFill>
              </w:rPr>
              <w:t>一氧化氮检测</w:t>
            </w:r>
            <w:r>
              <w:rPr>
                <w:rFonts w:hint="eastAsia" w:ascii="宋体" w:hAnsi="宋体" w:eastAsia="宋体" w:cs="宋体"/>
                <w:color w:val="000000" w:themeColor="text1"/>
                <w:sz w:val="24"/>
                <w:lang w:val="en-US" w:eastAsia="zh-CN"/>
                <w14:textFill>
                  <w14:solidFill>
                    <w14:schemeClr w14:val="tx1"/>
                  </w14:solidFill>
                </w14:textFill>
              </w:rPr>
              <w:t>功能，具备1月至5岁潮气呼出气体</w:t>
            </w:r>
            <w:r>
              <w:rPr>
                <w:rFonts w:hint="eastAsia" w:ascii="宋体" w:hAnsi="宋体" w:eastAsia="宋体" w:cs="宋体"/>
                <w:color w:val="000000" w:themeColor="text1"/>
                <w:sz w:val="24"/>
                <w14:textFill>
                  <w14:solidFill>
                    <w14:schemeClr w14:val="tx1"/>
                  </w14:solidFill>
                </w14:textFill>
              </w:rPr>
              <w:t>一氧化氮检测</w:t>
            </w:r>
            <w:r>
              <w:rPr>
                <w:rFonts w:hint="eastAsia" w:ascii="宋体" w:hAnsi="宋体" w:eastAsia="宋体" w:cs="宋体"/>
                <w:color w:val="000000" w:themeColor="text1"/>
                <w:sz w:val="24"/>
                <w:lang w:val="en-US" w:eastAsia="zh-CN"/>
                <w14:textFill>
                  <w14:solidFill>
                    <w14:schemeClr w14:val="tx1"/>
                  </w14:solidFill>
                </w14:textFill>
              </w:rPr>
              <w:t>功能，配备跟设备相适应潮气呼出气体收集装置。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操作系统：</w:t>
            </w:r>
            <w:r>
              <w:rPr>
                <w:rFonts w:hint="eastAsia" w:ascii="宋体" w:hAnsi="宋体" w:eastAsia="宋体" w:cs="宋体"/>
                <w:color w:val="000000" w:themeColor="text1"/>
                <w:sz w:val="24"/>
                <w:lang w:val="en-US" w:eastAsia="zh-CN"/>
                <w14:textFill>
                  <w14:solidFill>
                    <w14:schemeClr w14:val="tx1"/>
                  </w14:solidFill>
                </w14:textFill>
              </w:rPr>
              <w:t>具备</w:t>
            </w:r>
            <w:r>
              <w:rPr>
                <w:rFonts w:hint="eastAsia" w:ascii="宋体" w:hAnsi="宋体" w:eastAsia="宋体" w:cs="宋体"/>
                <w:color w:val="000000" w:themeColor="text1"/>
                <w:sz w:val="24"/>
                <w14:textFill>
                  <w14:solidFill>
                    <w14:schemeClr w14:val="tx1"/>
                  </w14:solidFill>
                </w14:textFill>
              </w:rPr>
              <w:t>创建、录入并编辑患者姓名、性别、年龄，基本情况</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检查报告</w:t>
            </w:r>
          </w:p>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提供患者历史记录查看</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屏幕要求</w:t>
            </w:r>
            <w:r>
              <w:rPr>
                <w:rFonts w:hint="eastAsia" w:ascii="宋体" w:hAnsi="宋体" w:eastAsia="宋体" w:cs="宋体"/>
                <w:color w:val="000000" w:themeColor="text1"/>
                <w:sz w:val="24"/>
                <w14:textFill>
                  <w14:solidFill>
                    <w14:schemeClr w14:val="tx1"/>
                  </w14:solidFill>
                </w14:textFill>
              </w:rPr>
              <w:t>：10-11英寸彩色液晶显示器，触摸操作。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▲网络</w:t>
            </w:r>
            <w:r>
              <w:rPr>
                <w:rFonts w:hint="eastAsia" w:ascii="宋体" w:hAnsi="宋体" w:eastAsia="宋体" w:cs="宋体"/>
                <w:color w:val="000000" w:themeColor="text1"/>
                <w:sz w:val="24"/>
                <w:lang w:val="en-US" w:eastAsia="zh-CN"/>
                <w14:textFill>
                  <w14:solidFill>
                    <w14:schemeClr w14:val="tx1"/>
                  </w14:solidFill>
                </w14:textFill>
              </w:rPr>
              <w:t>要求</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WIFI网络</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，通过网络连接设备数据，可通过后台系统查看分析检测结果，可从年龄、用药情况等进行智能</w:t>
            </w:r>
            <w:r>
              <w:rPr>
                <w:rFonts w:hint="eastAsia" w:ascii="宋体" w:hAnsi="宋体" w:eastAsia="宋体" w:cs="宋体"/>
                <w:color w:val="000000" w:themeColor="text1"/>
                <w:sz w:val="24"/>
                <w:lang w:val="en-US" w:eastAsia="zh-CN"/>
                <w14:textFill>
                  <w14:solidFill>
                    <w14:schemeClr w14:val="tx1"/>
                  </w14:solidFill>
                </w14:textFill>
              </w:rPr>
              <w:t>查询</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▲打印功能：内置热敏打印机</w:t>
            </w:r>
            <w:r>
              <w:rPr>
                <w:rFonts w:hint="eastAsia" w:ascii="宋体" w:hAnsi="宋体" w:eastAsia="宋体" w:cs="宋体"/>
                <w:color w:val="000000" w:themeColor="text1"/>
                <w:sz w:val="24"/>
                <w:lang w:val="en-US" w:eastAsia="zh-CN"/>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外接打印机打印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p>
        </w:tc>
        <w:tc>
          <w:tcPr>
            <w:tcW w:w="7508" w:type="dxa"/>
            <w:vAlign w:val="top"/>
          </w:tcPr>
          <w:p>
            <w:pPr>
              <w:spacing w:line="440" w:lineRule="exact"/>
              <w:rPr>
                <w:rFonts w:hint="eastAsia" w:ascii="仿宋" w:hAnsi="仿宋" w:eastAsia="仿宋" w:cs="仿宋"/>
                <w:color w:val="000000"/>
                <w:sz w:val="24"/>
                <w:lang w:val="en-US" w:eastAsia="zh-CN"/>
              </w:rPr>
            </w:pP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每套设备配置要求：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4"/>
        <w:gridCol w:w="378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84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378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c>
          <w:tcPr>
            <w:tcW w:w="96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92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一氧化氮检测仪主机</w:t>
            </w:r>
          </w:p>
        </w:tc>
        <w:tc>
          <w:tcPr>
            <w:tcW w:w="378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呼吸手柄1个，电源适配器：1个</w:t>
            </w:r>
          </w:p>
        </w:tc>
        <w:tc>
          <w:tcPr>
            <w:tcW w:w="969"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92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p>
        </w:tc>
        <w:tc>
          <w:tcPr>
            <w:tcW w:w="1844"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3780"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69"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20" w:type="dxa"/>
          </w:tcPr>
          <w:p>
            <w:pPr>
              <w:spacing w:line="440" w:lineRule="exact"/>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p>
        </w:tc>
        <w:tc>
          <w:tcPr>
            <w:tcW w:w="1844"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3780"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69"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20" w:type="dxa"/>
          </w:tcPr>
          <w:p>
            <w:pPr>
              <w:spacing w:line="440" w:lineRule="exact"/>
              <w:rPr>
                <w:rFonts w:hint="eastAsia" w:ascii="宋体" w:hAnsi="宋体" w:eastAsia="宋体" w:cs="宋体"/>
                <w:b/>
                <w:color w:val="000000" w:themeColor="text1"/>
                <w:sz w:val="24"/>
                <w14:textFill>
                  <w14:solidFill>
                    <w14:schemeClr w14:val="tx1"/>
                  </w14:solidFill>
                </w14:textFill>
              </w:rPr>
            </w:pP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设</w:t>
      </w:r>
      <w:r>
        <w:rPr>
          <w:rFonts w:hint="eastAsia" w:ascii="宋体" w:hAnsi="宋体" w:eastAsia="宋体" w:cs="宋体"/>
          <w:b/>
          <w:color w:val="000000" w:themeColor="text1"/>
          <w:sz w:val="24"/>
          <w14:textFill>
            <w14:solidFill>
              <w14:schemeClr w14:val="tx1"/>
            </w14:solidFill>
          </w14:textFill>
        </w:rPr>
        <w:t>备配套耗材/试剂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126"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耗材/试剂名称</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一氧化氮传感器</w:t>
            </w:r>
          </w:p>
        </w:tc>
        <w:tc>
          <w:tcPr>
            <w:tcW w:w="5245" w:type="dxa"/>
            <w:noWrap w:val="0"/>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专机专用，可在广东省药品交易中心线上交易。</w:t>
            </w:r>
          </w:p>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耗材最高限价：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潮气收集装置（配套）</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设备需配套和传感器提供的检测人份数相等的潮气收集装置，对所使用的试剂和耗材进行单独报价，该费用不得计算在总报价中。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p>
        </w:tc>
        <w:tc>
          <w:tcPr>
            <w:tcW w:w="2126" w:type="dxa"/>
            <w:noWrap w:val="0"/>
            <w:vAlign w:val="top"/>
          </w:tcPr>
          <w:p>
            <w:pPr>
              <w:spacing w:line="440" w:lineRule="exact"/>
              <w:jc w:val="center"/>
              <w:rPr>
                <w:rFonts w:ascii="仿宋" w:hAnsi="仿宋" w:eastAsia="仿宋" w:cs="仿宋"/>
                <w:b/>
                <w:color w:val="000000"/>
                <w:sz w:val="24"/>
              </w:rPr>
            </w:pPr>
          </w:p>
        </w:tc>
        <w:tc>
          <w:tcPr>
            <w:tcW w:w="5245" w:type="dxa"/>
            <w:noWrap w:val="0"/>
            <w:vAlign w:val="top"/>
          </w:tcPr>
          <w:p>
            <w:pPr>
              <w:spacing w:line="440" w:lineRule="exact"/>
              <w:rPr>
                <w:rFonts w:ascii="仿宋" w:hAnsi="仿宋" w:eastAsia="仿宋" w:cs="仿宋"/>
                <w:b/>
                <w:color w:val="000000"/>
                <w:sz w:val="24"/>
              </w:rPr>
            </w:pPr>
          </w:p>
        </w:tc>
      </w:tr>
    </w:tbl>
    <w:p>
      <w:pPr>
        <w:pStyle w:val="2"/>
        <w:rPr>
          <w:rFonts w:hint="eastAsia"/>
        </w:rPr>
      </w:pP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商务要求：</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1.交货及安装、验收要求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交货地点：采购人指定地点。</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交货期：中标供应商应当在中标通知书发出之日起30日内按招标文件及中标人的投标文件确定的事项与采购人签订合同，签订合同后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日内完成设备的安装调试。</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交付时中标供应商应提供</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真实有效的生产日期，且保证</w:t>
      </w:r>
      <w:r>
        <w:rPr>
          <w:rFonts w:hint="eastAsia" w:ascii="宋体" w:hAnsi="宋体" w:eastAsia="宋体" w:cs="宋体"/>
          <w:color w:val="000000" w:themeColor="text1"/>
          <w:sz w:val="24"/>
          <w:lang w:val="en-US" w:eastAsia="zh-CN"/>
          <w14:textFill>
            <w14:solidFill>
              <w14:schemeClr w14:val="tx1"/>
            </w14:solidFill>
          </w14:textFill>
        </w:rPr>
        <w:t>合同设备的</w:t>
      </w:r>
      <w:r>
        <w:rPr>
          <w:rFonts w:hint="eastAsia" w:ascii="宋体" w:hAnsi="宋体" w:eastAsia="宋体" w:cs="宋体"/>
          <w:color w:val="000000" w:themeColor="text1"/>
          <w:sz w:val="24"/>
          <w14:textFill>
            <w14:solidFill>
              <w14:schemeClr w14:val="tx1"/>
            </w14:solidFill>
          </w14:textFill>
        </w:rPr>
        <w:t>生产日期距交付时的时间差不超过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6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中标供应商须保证中标后所提供的设备为原装、全新合格的产品。</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中标供应商负责派技术人员到现场进行安装调试，直至验收合格，安装调试所需费用应包含在投标总报价内；同时提供培训服务，必须保证需求科室操作人员融会贯通，培训所需费用全部包含在总报价内。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验收方式：按《小榄镇</w:t>
      </w:r>
      <w:r>
        <w:rPr>
          <w:rFonts w:hint="eastAsia" w:ascii="宋体" w:hAnsi="宋体" w:eastAsia="宋体" w:cs="宋体"/>
          <w:color w:val="000000" w:themeColor="text1"/>
          <w:sz w:val="24"/>
          <w:lang w:eastAsia="zh-CN"/>
          <w14:textFill>
            <w14:solidFill>
              <w14:schemeClr w14:val="tx1"/>
            </w14:solidFill>
          </w14:textFill>
        </w:rPr>
        <w:t>公立</w:t>
      </w:r>
      <w:r>
        <w:rPr>
          <w:rFonts w:hint="eastAsia" w:ascii="宋体" w:hAnsi="宋体" w:eastAsia="宋体" w:cs="宋体"/>
          <w:color w:val="000000" w:themeColor="text1"/>
          <w:sz w:val="24"/>
          <w14:textFill>
            <w14:solidFill>
              <w14:schemeClr w14:val="tx1"/>
            </w14:solidFill>
          </w14:textFill>
        </w:rPr>
        <w:t>医院</w:t>
      </w:r>
      <w:r>
        <w:rPr>
          <w:rFonts w:hint="eastAsia" w:ascii="宋体" w:hAnsi="宋体" w:eastAsia="宋体" w:cs="宋体"/>
          <w:color w:val="000000" w:themeColor="text1"/>
          <w:sz w:val="24"/>
          <w:lang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采购和验收</w:t>
      </w:r>
      <w:r>
        <w:rPr>
          <w:rFonts w:hint="eastAsia" w:ascii="宋体" w:hAnsi="宋体" w:eastAsia="宋体" w:cs="宋体"/>
          <w:color w:val="000000" w:themeColor="text1"/>
          <w:sz w:val="24"/>
          <w:lang w:eastAsia="zh-CN"/>
          <w14:textFill>
            <w14:solidFill>
              <w14:schemeClr w14:val="tx1"/>
            </w14:solidFill>
          </w14:textFill>
        </w:rPr>
        <w:t>办法</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★投标供应商须要在投标文件做出具承诺函，该承诺函包括但不限于以下内容: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540" w:leftChars="257"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2.售后服务要求</w:t>
      </w:r>
    </w:p>
    <w:p>
      <w:pPr>
        <w:numPr>
          <w:ilvl w:val="0"/>
          <w:numId w:val="4"/>
        </w:numPr>
        <w:tabs>
          <w:tab w:val="left" w:pos="420"/>
          <w:tab w:val="clear" w:pos="0"/>
        </w:tabs>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中标供应商必须在中国境内有售后服务机构，并附有售后服务能力说明。</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★中标供应商须提供设备原厂质保（设备原厂质量保修范围和保修期）至少为 </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 xml:space="preserve"> 年。</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在售后期内，中标供应商在接到用户的维修通知，响应时间为半小时内，工程师到达现场时间为4小时内，排除故障时限为到达现场后8小时内。</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如果产品故障在检修12小时后仍无法排除，中标供应商应在24小时内提供不低于故障产品规格型号档次的备用产品供采购人使用，直至故障产品修复。</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3.付款方式</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（2）验收调试合格报告（加盖采购人公章）；</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开具的正式发票（加盖发票专用章）。</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具体付款方式：合同签订后，中标供应商须提供相同金额的收款收据；中标供应商按合同协议时间提供设备，并经协议规定的验收机构书面确认验收合格后，开具全额发票，采购人确认发票无误后一个月内支付合同总金额的</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5%；合同总金额的5%在质保期满后一次性无息支付。</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3225"/>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86"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技术评审</w:t>
            </w:r>
          </w:p>
        </w:tc>
        <w:tc>
          <w:tcPr>
            <w:tcW w:w="3225"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价格评审</w:t>
            </w:r>
          </w:p>
        </w:tc>
        <w:tc>
          <w:tcPr>
            <w:tcW w:w="2888"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986"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w:t>
            </w:r>
          </w:p>
        </w:tc>
        <w:tc>
          <w:tcPr>
            <w:tcW w:w="3225"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w:t>
            </w:r>
          </w:p>
        </w:tc>
        <w:tc>
          <w:tcPr>
            <w:tcW w:w="2888"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r>
    </w:tbl>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rPr>
        <w:t>商务评审：</w:t>
      </w:r>
    </w:p>
    <w:p>
      <w:pPr>
        <w:pStyle w:val="19"/>
        <w:rPr>
          <w:rFonts w:hint="eastAsia"/>
          <w:shd w:val="clear" w:color="FFFFFF" w:fill="D9D9D9"/>
          <w:lang w:val="en-US" w:eastAsia="zh-CN"/>
        </w:rPr>
      </w:pPr>
    </w:p>
    <w:tbl>
      <w:tblPr>
        <w:tblStyle w:val="14"/>
        <w:tblpPr w:leftFromText="180" w:rightFromText="180" w:vertAnchor="page" w:horzAnchor="page" w:tblpX="924" w:tblpY="4787"/>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9"/>
        <w:gridCol w:w="1521"/>
        <w:gridCol w:w="1155"/>
        <w:gridCol w:w="552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5" w:hRule="atLeast"/>
          <w:jc w:val="center"/>
        </w:trPr>
        <w:tc>
          <w:tcPr>
            <w:tcW w:w="73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序号</w:t>
            </w:r>
          </w:p>
        </w:tc>
        <w:tc>
          <w:tcPr>
            <w:tcW w:w="1521"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评审指标</w:t>
            </w:r>
          </w:p>
        </w:tc>
        <w:tc>
          <w:tcPr>
            <w:tcW w:w="1155"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分值</w:t>
            </w:r>
          </w:p>
        </w:tc>
        <w:tc>
          <w:tcPr>
            <w:tcW w:w="552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评分范围</w:t>
            </w:r>
          </w:p>
        </w:tc>
        <w:tc>
          <w:tcPr>
            <w:tcW w:w="1354" w:type="dxa"/>
            <w:shd w:val="clear" w:color="000000" w:fill="D9D9D9"/>
            <w:vAlign w:val="center"/>
          </w:tcPr>
          <w:p>
            <w:pPr>
              <w:wordWrap w:val="0"/>
              <w:jc w:val="center"/>
              <w:rPr>
                <w:rFonts w:hint="default" w:ascii="宋体" w:hAnsi="宋体" w:eastAsia="宋体" w:cs="宋体"/>
                <w:b/>
                <w:color w:val="FF0000"/>
                <w:sz w:val="21"/>
                <w:szCs w:val="21"/>
                <w:shd w:val="clear" w:color="FFFFFF" w:fill="D9D9D9"/>
                <w:lang w:val="en-US" w:eastAsia="zh-CN"/>
              </w:rPr>
            </w:pPr>
            <w:r>
              <w:rPr>
                <w:rFonts w:hint="eastAsia" w:ascii="仿宋" w:hAnsi="仿宋" w:eastAsia="仿宋" w:cs="仿宋"/>
                <w:b/>
                <w:bCs/>
                <w:color w:val="000000"/>
                <w:sz w:val="24"/>
                <w:shd w:val="clear" w:color="FFFFFF" w:fill="D9D9D9"/>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1</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商务响应情况</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5</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根据供应商的投标文件的响应程度进行评审。</w:t>
            </w:r>
          </w:p>
          <w:p>
            <w:pPr>
              <w:rPr>
                <w:rFonts w:ascii="仿宋" w:hAnsi="仿宋" w:eastAsia="仿宋" w:cs="仿宋"/>
                <w:color w:val="000000"/>
                <w:sz w:val="24"/>
              </w:rPr>
            </w:pPr>
            <w:r>
              <w:rPr>
                <w:rFonts w:hint="eastAsia" w:ascii="仿宋" w:hAnsi="仿宋" w:eastAsia="仿宋" w:cs="仿宋"/>
                <w:color w:val="000000"/>
                <w:sz w:val="24"/>
              </w:rPr>
              <w:t>投标文件的响应符合用户需求书的商务要求，得5分；</w:t>
            </w:r>
          </w:p>
          <w:p>
            <w:pPr>
              <w:rPr>
                <w:rFonts w:ascii="仿宋" w:hAnsi="仿宋" w:eastAsia="仿宋" w:cs="仿宋"/>
                <w:color w:val="000000"/>
                <w:sz w:val="24"/>
              </w:rPr>
            </w:pPr>
            <w:r>
              <w:rPr>
                <w:rFonts w:hint="eastAsia" w:ascii="仿宋" w:hAnsi="仿宋" w:eastAsia="仿宋" w:cs="仿宋"/>
                <w:color w:val="000000"/>
                <w:sz w:val="24"/>
              </w:rPr>
              <w:t>投标文件部分响应用户需求书的商务要求，得2分；</w:t>
            </w:r>
          </w:p>
          <w:p>
            <w:pPr>
              <w:rPr>
                <w:rFonts w:hint="eastAsia" w:ascii="宋体" w:hAnsi="宋体" w:eastAsia="宋体" w:cs="宋体"/>
                <w:color w:val="FF0000"/>
                <w:sz w:val="20"/>
                <w:szCs w:val="20"/>
              </w:rPr>
            </w:pPr>
            <w:r>
              <w:rPr>
                <w:rFonts w:hint="eastAsia" w:ascii="仿宋" w:hAnsi="仿宋" w:eastAsia="仿宋" w:cs="仿宋"/>
                <w:color w:val="000000"/>
                <w:sz w:val="24"/>
              </w:rPr>
              <w:t>投标文件的响应较差或无，得0分。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2</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项目业绩</w:t>
            </w:r>
          </w:p>
        </w:tc>
        <w:tc>
          <w:tcPr>
            <w:tcW w:w="1155" w:type="dxa"/>
            <w:shd w:val="clear" w:color="000000" w:fill="FFFFFF"/>
            <w:vAlign w:val="center"/>
          </w:tcPr>
          <w:p>
            <w:pPr>
              <w:jc w:val="center"/>
              <w:rPr>
                <w:rFonts w:hint="default" w:ascii="宋体" w:hAnsi="宋体" w:eastAsia="宋体" w:cs="宋体"/>
                <w:color w:val="FF0000"/>
                <w:sz w:val="20"/>
                <w:szCs w:val="20"/>
                <w:lang w:val="en-US"/>
              </w:rPr>
            </w:pPr>
            <w:r>
              <w:rPr>
                <w:rFonts w:hint="eastAsia" w:ascii="仿宋" w:hAnsi="仿宋" w:eastAsia="仿宋" w:cs="仿宋"/>
                <w:color w:val="000000"/>
                <w:sz w:val="24"/>
              </w:rPr>
              <w:t>4</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201</w:t>
            </w:r>
            <w:r>
              <w:rPr>
                <w:rFonts w:hint="eastAsia" w:ascii="仿宋" w:hAnsi="仿宋" w:eastAsia="仿宋" w:cs="仿宋"/>
                <w:color w:val="000000"/>
                <w:sz w:val="24"/>
                <w:lang w:val="en-US" w:eastAsia="zh-CN"/>
              </w:rPr>
              <w:t>9</w:t>
            </w:r>
            <w:r>
              <w:rPr>
                <w:rFonts w:hint="eastAsia" w:ascii="仿宋" w:hAnsi="仿宋" w:eastAsia="仿宋" w:cs="仿宋"/>
                <w:color w:val="000000"/>
                <w:sz w:val="24"/>
              </w:rPr>
              <w:t>年至今承接同类项目业绩（应同时满足以下条件： ①以投标人名义签订；② 合同标的为本项目同类设备），每提供1份得1分，本小项满分4分。</w:t>
            </w:r>
          </w:p>
          <w:p>
            <w:pPr>
              <w:rPr>
                <w:rFonts w:hint="eastAsia" w:ascii="宋体" w:hAnsi="宋体" w:eastAsia="宋体" w:cs="宋体"/>
                <w:color w:val="FF0000"/>
                <w:sz w:val="20"/>
                <w:szCs w:val="20"/>
              </w:rPr>
            </w:pPr>
            <w:r>
              <w:rPr>
                <w:rFonts w:hint="eastAsia" w:ascii="仿宋" w:hAnsi="仿宋" w:eastAsia="仿宋" w:cs="仿宋"/>
                <w:color w:val="000000"/>
                <w:sz w:val="24"/>
              </w:rPr>
              <w:t>（注：投标文件中提供合同复印件并加盖公章，未提供或所提供资料模糊不清的不得分。）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1"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3</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质量保证措施</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6</w:t>
            </w:r>
          </w:p>
        </w:tc>
        <w:tc>
          <w:tcPr>
            <w:tcW w:w="5529"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在用户需求质保期要求的基础上延长1年，得1分；延长2年，得2分；延长3年，得4分；延长4年，得6分。本项最高得分不超过6分。（延长的质保期须为原厂质保）</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2260" w:type="dxa"/>
            <w:gridSpan w:val="2"/>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合计</w:t>
            </w:r>
          </w:p>
        </w:tc>
        <w:tc>
          <w:tcPr>
            <w:tcW w:w="1155" w:type="dxa"/>
            <w:shd w:val="clear" w:color="000000" w:fill="FFFFFF"/>
            <w:vAlign w:val="center"/>
          </w:tcPr>
          <w:p>
            <w:pPr>
              <w:jc w:val="center"/>
              <w:rPr>
                <w:rFonts w:hint="default" w:ascii="宋体" w:hAnsi="宋体" w:eastAsia="宋体" w:cs="宋体"/>
                <w:color w:val="FF0000"/>
                <w:sz w:val="20"/>
                <w:szCs w:val="20"/>
                <w:lang w:val="en-US" w:eastAsia="zh-CN"/>
              </w:rPr>
            </w:pPr>
            <w:r>
              <w:rPr>
                <w:rFonts w:hint="eastAsia" w:ascii="仿宋" w:hAnsi="仿宋" w:eastAsia="仿宋" w:cs="仿宋"/>
                <w:b/>
                <w:color w:val="000000"/>
                <w:sz w:val="24"/>
              </w:rPr>
              <w:t>15</w:t>
            </w:r>
          </w:p>
        </w:tc>
        <w:tc>
          <w:tcPr>
            <w:tcW w:w="552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得分合计</w:t>
            </w:r>
          </w:p>
        </w:tc>
        <w:tc>
          <w:tcPr>
            <w:tcW w:w="1354" w:type="dxa"/>
            <w:shd w:val="clear" w:color="000000" w:fill="FFFFFF"/>
            <w:vAlign w:val="center"/>
          </w:tcPr>
          <w:p>
            <w:pPr>
              <w:jc w:val="center"/>
              <w:rPr>
                <w:rFonts w:hint="eastAsia" w:ascii="宋体" w:hAnsi="宋体" w:eastAsia="宋体" w:cs="宋体"/>
                <w:color w:val="FF0000"/>
                <w:sz w:val="20"/>
                <w:szCs w:val="20"/>
              </w:rPr>
            </w:pPr>
          </w:p>
        </w:tc>
      </w:tr>
    </w:tbl>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技术评审：</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1"/>
        <w:gridCol w:w="1530"/>
        <w:gridCol w:w="1155"/>
        <w:gridCol w:w="536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91"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序号</w:t>
            </w:r>
          </w:p>
        </w:tc>
        <w:tc>
          <w:tcPr>
            <w:tcW w:w="1530"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评审指标</w:t>
            </w:r>
          </w:p>
        </w:tc>
        <w:tc>
          <w:tcPr>
            <w:tcW w:w="1155"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分值</w:t>
            </w:r>
          </w:p>
        </w:tc>
        <w:tc>
          <w:tcPr>
            <w:tcW w:w="5369"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评分范围</w:t>
            </w:r>
          </w:p>
        </w:tc>
        <w:tc>
          <w:tcPr>
            <w:tcW w:w="1352" w:type="dxa"/>
            <w:shd w:val="clear" w:color="000000" w:fill="auto"/>
            <w:noWrap w:val="0"/>
            <w:vAlign w:val="center"/>
          </w:tcPr>
          <w:p>
            <w:pPr>
              <w:wordWrap w:val="0"/>
              <w:jc w:val="center"/>
              <w:rPr>
                <w:rFonts w:hint="eastAsia" w:ascii="仿宋" w:hAnsi="仿宋" w:eastAsia="仿宋" w:cs="仿宋"/>
                <w:b/>
                <w:color w:val="000000"/>
                <w:sz w:val="24"/>
                <w:shd w:val="clear" w:color="auto" w:fill="auto"/>
              </w:rPr>
            </w:pPr>
            <w:r>
              <w:rPr>
                <w:rFonts w:hint="eastAsia" w:ascii="仿宋" w:hAnsi="仿宋" w:eastAsia="仿宋" w:cs="仿宋"/>
                <w:b/>
                <w:bCs/>
                <w:color w:val="00000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highlight w:val="none"/>
              </w:rPr>
              <w:t>一般条款响应程度</w:t>
            </w:r>
          </w:p>
        </w:tc>
        <w:tc>
          <w:tcPr>
            <w:tcW w:w="1155" w:type="dxa"/>
            <w:shd w:val="clear" w:color="000000" w:fill="auto"/>
            <w:noWrap w:val="0"/>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highlight w:val="none"/>
              </w:rPr>
              <w:t>18</w:t>
            </w:r>
          </w:p>
        </w:tc>
        <w:tc>
          <w:tcPr>
            <w:tcW w:w="5369"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”条款）负偏离在9项以内（含9项），每项扣2分；一般条款（非“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”条款）负偏离超过9项的，得0分；完全响应得18分。</w:t>
            </w:r>
          </w:p>
          <w:p>
            <w:pPr>
              <w:rPr>
                <w:rFonts w:ascii="仿宋" w:hAnsi="仿宋" w:eastAsia="仿宋" w:cs="仿宋"/>
                <w:color w:val="000000"/>
                <w:sz w:val="24"/>
              </w:rPr>
            </w:pPr>
            <w:r>
              <w:rPr>
                <w:rFonts w:hint="eastAsia" w:ascii="仿宋" w:hAnsi="仿宋" w:eastAsia="仿宋" w:cs="仿宋"/>
                <w:color w:val="000000"/>
                <w:sz w:val="24"/>
                <w:highlight w:val="none"/>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2</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highlight w:val="none"/>
              </w:rPr>
              <w:t>重要条款响应程度</w:t>
            </w:r>
          </w:p>
        </w:tc>
        <w:tc>
          <w:tcPr>
            <w:tcW w:w="1155" w:type="dxa"/>
            <w:shd w:val="clear" w:color="000000" w:fill="auto"/>
            <w:noWrap w:val="0"/>
            <w:vAlign w:val="center"/>
          </w:tcPr>
          <w:p>
            <w:pPr>
              <w:rPr>
                <w:rFonts w:hint="default" w:ascii="仿宋" w:hAnsi="仿宋" w:eastAsia="仿宋" w:cs="仿宋"/>
                <w:color w:val="000000"/>
                <w:sz w:val="24"/>
                <w:lang w:val="en-US" w:eastAsia="zh-CN"/>
              </w:rPr>
            </w:pPr>
            <w:r>
              <w:rPr>
                <w:rFonts w:hint="eastAsia" w:ascii="仿宋" w:hAnsi="仿宋" w:eastAsia="仿宋" w:cs="仿宋"/>
                <w:color w:val="000000"/>
                <w:sz w:val="24"/>
                <w:highlight w:val="none"/>
              </w:rPr>
              <w:t>12</w:t>
            </w:r>
          </w:p>
        </w:tc>
        <w:tc>
          <w:tcPr>
            <w:tcW w:w="5369" w:type="dxa"/>
            <w:shd w:val="clear" w:color="000000" w:fill="auto"/>
            <w:noWrap w:val="0"/>
            <w:vAlign w:val="center"/>
          </w:tcPr>
          <w:p>
            <w:pPr>
              <w:rPr>
                <w:rFonts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根据</w:t>
            </w:r>
            <w:r>
              <w:rPr>
                <w:rFonts w:hint="eastAsia" w:ascii="仿宋" w:hAnsi="仿宋" w:eastAsia="仿宋" w:cs="仿宋"/>
                <w:color w:val="000000"/>
                <w:sz w:val="24"/>
                <w:highlight w:val="none"/>
              </w:rPr>
              <w:t>投标人</w:t>
            </w:r>
            <w:r>
              <w:rPr>
                <w:rFonts w:hint="eastAsia" w:ascii="仿宋" w:hAnsi="仿宋" w:eastAsia="仿宋" w:cs="仿宋"/>
                <w:color w:val="000000"/>
                <w:sz w:val="24"/>
                <w:highlight w:val="none"/>
                <w:lang w:val="zh-CN"/>
              </w:rPr>
              <w:t>对用户需求中重要条款（“▲”条款）的响应程度进行评分：</w:t>
            </w:r>
          </w:p>
          <w:p>
            <w:pPr>
              <w:rPr>
                <w:rFonts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重要条款（“▲”条款）负偏离在</w:t>
            </w:r>
            <w:r>
              <w:rPr>
                <w:rFonts w:hint="eastAsia" w:ascii="仿宋" w:hAnsi="仿宋" w:eastAsia="仿宋" w:cs="仿宋"/>
                <w:color w:val="000000"/>
                <w:sz w:val="24"/>
                <w:highlight w:val="none"/>
              </w:rPr>
              <w:t>4</w:t>
            </w:r>
            <w:r>
              <w:rPr>
                <w:rFonts w:hint="eastAsia" w:ascii="仿宋" w:hAnsi="仿宋" w:eastAsia="仿宋" w:cs="仿宋"/>
                <w:color w:val="000000"/>
                <w:sz w:val="24"/>
                <w:highlight w:val="none"/>
                <w:lang w:val="zh-CN"/>
              </w:rPr>
              <w:t>项以内（含</w:t>
            </w:r>
            <w:r>
              <w:rPr>
                <w:rFonts w:hint="eastAsia" w:ascii="仿宋" w:hAnsi="仿宋" w:eastAsia="仿宋" w:cs="仿宋"/>
                <w:color w:val="000000"/>
                <w:sz w:val="24"/>
                <w:highlight w:val="none"/>
              </w:rPr>
              <w:t>4</w:t>
            </w:r>
            <w:r>
              <w:rPr>
                <w:rFonts w:hint="eastAsia" w:ascii="仿宋" w:hAnsi="仿宋" w:eastAsia="仿宋" w:cs="仿宋"/>
                <w:color w:val="000000"/>
                <w:sz w:val="24"/>
                <w:highlight w:val="none"/>
                <w:lang w:val="zh-CN"/>
              </w:rPr>
              <w:t>项），每项扣</w:t>
            </w: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zh-CN"/>
              </w:rPr>
              <w:t>分；重要条款（“▲”条款）负偏离超过</w:t>
            </w:r>
            <w:r>
              <w:rPr>
                <w:rFonts w:hint="eastAsia" w:ascii="仿宋" w:hAnsi="仿宋" w:eastAsia="仿宋" w:cs="仿宋"/>
                <w:color w:val="000000"/>
                <w:sz w:val="24"/>
                <w:highlight w:val="none"/>
              </w:rPr>
              <w:t>4</w:t>
            </w:r>
            <w:r>
              <w:rPr>
                <w:rFonts w:hint="eastAsia" w:ascii="仿宋" w:hAnsi="仿宋" w:eastAsia="仿宋" w:cs="仿宋"/>
                <w:color w:val="000000"/>
                <w:sz w:val="24"/>
                <w:highlight w:val="none"/>
                <w:lang w:val="zh-CN"/>
              </w:rPr>
              <w:t>项的，得0分；</w:t>
            </w:r>
            <w:r>
              <w:rPr>
                <w:rFonts w:hint="eastAsia" w:ascii="仿宋" w:hAnsi="仿宋" w:eastAsia="仿宋" w:cs="仿宋"/>
                <w:color w:val="000000"/>
                <w:sz w:val="24"/>
                <w:highlight w:val="none"/>
              </w:rPr>
              <w:t>完全响应得12分</w:t>
            </w:r>
            <w:r>
              <w:rPr>
                <w:rFonts w:hint="eastAsia" w:ascii="仿宋" w:hAnsi="仿宋" w:eastAsia="仿宋" w:cs="仿宋"/>
                <w:color w:val="000000"/>
                <w:sz w:val="24"/>
                <w:highlight w:val="none"/>
                <w:lang w:val="zh-CN"/>
              </w:rPr>
              <w:t>。</w:t>
            </w:r>
          </w:p>
          <w:p>
            <w:pPr>
              <w:rPr>
                <w:rFonts w:ascii="仿宋" w:hAnsi="仿宋" w:eastAsia="仿宋" w:cs="仿宋"/>
                <w:color w:val="000000"/>
                <w:sz w:val="24"/>
              </w:rPr>
            </w:pPr>
            <w:r>
              <w:rPr>
                <w:rFonts w:hint="eastAsia" w:ascii="仿宋" w:hAnsi="仿宋" w:eastAsia="仿宋" w:cs="仿宋"/>
                <w:color w:val="000000"/>
                <w:sz w:val="24"/>
                <w:highlight w:val="none"/>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9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530"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tc>
        <w:tc>
          <w:tcPr>
            <w:tcW w:w="1155"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5369"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1352"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530"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试剂、耗材或消耗品</w:t>
            </w:r>
          </w:p>
        </w:tc>
        <w:tc>
          <w:tcPr>
            <w:tcW w:w="1155"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5369"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根据试剂、耗材或消耗品等内容性质及报价的合理性进行评审：</w:t>
            </w:r>
          </w:p>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1. 提供属于通用的试剂、耗材或消耗品等内容，报价低于最高限价的50%（不含）以上的，得8分；报价低于最高限价且在最高限价的30%（不含）至50%（含）之间，得6分；报价低于最高限价且在最高限价的0至30%（含）之间，得4分。报价高于最高限价的，得1分。</w:t>
            </w:r>
          </w:p>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提供属于专机专用试剂、耗材或消耗品等内容，报价低于最高限价的50%（不含）以上的，得6分；报价低于最高限价且在最高限价的30%（不含）至50%（含）之间，得4分；报价低于最高限价且在最高限价的0至30%（含）之间的，得2分。报价高于最高限价的，得0分。</w:t>
            </w:r>
          </w:p>
          <w:p>
            <w:pPr>
              <w:rPr>
                <w:rFonts w:hint="eastAsia" w:ascii="仿宋" w:hAnsi="仿宋" w:eastAsia="仿宋" w:cs="仿宋"/>
                <w:color w:val="000000"/>
                <w:sz w:val="24"/>
                <w:highlight w:val="none"/>
              </w:rPr>
            </w:pPr>
          </w:p>
        </w:tc>
        <w:tc>
          <w:tcPr>
            <w:tcW w:w="1352"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30"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设备操作的实用性、拓展性</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5369" w:type="dxa"/>
            <w:shd w:val="clear" w:color="000000" w:fill="auto"/>
            <w:noWrap w:val="0"/>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根据供应商所投设备</w:t>
            </w:r>
            <w:r>
              <w:rPr>
                <w:rFonts w:hint="eastAsia" w:ascii="仿宋" w:hAnsi="仿宋" w:eastAsia="仿宋" w:cs="仿宋"/>
                <w:color w:val="000000"/>
                <w:sz w:val="24"/>
                <w:lang w:val="zh-CN"/>
              </w:rPr>
              <w:t>操作的实用性（</w:t>
            </w:r>
            <w:r>
              <w:rPr>
                <w:rFonts w:hint="eastAsia" w:ascii="仿宋" w:hAnsi="仿宋" w:eastAsia="仿宋" w:cs="仿宋"/>
                <w:color w:val="000000"/>
                <w:sz w:val="24"/>
              </w:rPr>
              <w:t>操作便利性、维修简易性</w:t>
            </w:r>
            <w:r>
              <w:rPr>
                <w:rFonts w:hint="eastAsia" w:ascii="仿宋" w:hAnsi="仿宋" w:eastAsia="仿宋" w:cs="仿宋"/>
                <w:color w:val="000000"/>
                <w:sz w:val="24"/>
                <w:lang w:val="zh-CN"/>
              </w:rPr>
              <w:t>）、拓展性（功能后续可否随技术、采购人新需求等原因进行升级）</w:t>
            </w:r>
            <w:r>
              <w:rPr>
                <w:rFonts w:hint="eastAsia" w:ascii="仿宋" w:hAnsi="仿宋" w:eastAsia="仿宋" w:cs="仿宋"/>
                <w:color w:val="000000"/>
                <w:sz w:val="24"/>
              </w:rPr>
              <w:t>进行评审（须提供相关说明/证明材料）。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1.所投设备</w:t>
            </w:r>
            <w:r>
              <w:rPr>
                <w:rFonts w:hint="eastAsia" w:ascii="仿宋" w:hAnsi="仿宋" w:eastAsia="仿宋" w:cs="仿宋"/>
                <w:color w:val="000000"/>
                <w:sz w:val="24"/>
                <w:lang w:val="zh-CN"/>
              </w:rPr>
              <w:t>操作</w:t>
            </w:r>
            <w:r>
              <w:rPr>
                <w:rFonts w:hint="eastAsia" w:ascii="仿宋" w:hAnsi="仿宋" w:eastAsia="仿宋" w:cs="仿宋"/>
                <w:color w:val="000000"/>
                <w:sz w:val="24"/>
              </w:rPr>
              <w:t>的</w:t>
            </w:r>
            <w:r>
              <w:rPr>
                <w:rFonts w:hint="eastAsia" w:ascii="仿宋" w:hAnsi="仿宋" w:eastAsia="仿宋" w:cs="仿宋"/>
                <w:color w:val="000000"/>
                <w:sz w:val="24"/>
                <w:lang w:val="zh-CN"/>
              </w:rPr>
              <w:t>实用性、拓展性</w:t>
            </w:r>
            <w:r>
              <w:rPr>
                <w:rFonts w:hint="eastAsia" w:ascii="仿宋" w:hAnsi="仿宋" w:eastAsia="仿宋" w:cs="仿宋"/>
                <w:color w:val="000000"/>
                <w:sz w:val="24"/>
              </w:rPr>
              <w:t>强的</w:t>
            </w:r>
            <w:r>
              <w:rPr>
                <w:rFonts w:hint="eastAsia" w:ascii="仿宋" w:hAnsi="仿宋" w:eastAsia="仿宋" w:cs="仿宋"/>
                <w:color w:val="000000"/>
                <w:sz w:val="24"/>
                <w:lang w:val="zh-CN"/>
              </w:rPr>
              <w:t>，得</w:t>
            </w:r>
            <w:r>
              <w:rPr>
                <w:rFonts w:hint="eastAsia" w:ascii="仿宋" w:hAnsi="仿宋" w:eastAsia="仿宋" w:cs="仿宋"/>
                <w:color w:val="000000"/>
                <w:sz w:val="24"/>
              </w:rPr>
              <w:t>9分；</w:t>
            </w:r>
          </w:p>
          <w:p>
            <w:pPr>
              <w:spacing w:line="440" w:lineRule="exact"/>
              <w:rPr>
                <w:rFonts w:ascii="仿宋" w:hAnsi="仿宋" w:eastAsia="仿宋" w:cs="仿宋"/>
                <w:color w:val="000000"/>
                <w:sz w:val="24"/>
              </w:rPr>
            </w:pPr>
            <w:r>
              <w:rPr>
                <w:rFonts w:hint="eastAsia" w:ascii="仿宋" w:hAnsi="仿宋" w:eastAsia="仿宋" w:cs="仿宋"/>
                <w:color w:val="000000"/>
                <w:sz w:val="24"/>
              </w:rPr>
              <w:t>2.所投设备</w:t>
            </w:r>
            <w:r>
              <w:rPr>
                <w:rFonts w:hint="eastAsia" w:ascii="仿宋" w:hAnsi="仿宋" w:eastAsia="仿宋" w:cs="仿宋"/>
                <w:color w:val="000000"/>
                <w:sz w:val="24"/>
                <w:lang w:val="zh-CN"/>
              </w:rPr>
              <w:t>操作的实用性、拓展性</w:t>
            </w:r>
            <w:r>
              <w:rPr>
                <w:rFonts w:hint="eastAsia" w:ascii="仿宋" w:hAnsi="仿宋" w:eastAsia="仿宋" w:cs="仿宋"/>
                <w:color w:val="000000"/>
                <w:sz w:val="24"/>
              </w:rPr>
              <w:t>较强</w:t>
            </w:r>
            <w:r>
              <w:rPr>
                <w:rFonts w:hint="eastAsia" w:ascii="仿宋" w:hAnsi="仿宋" w:eastAsia="仿宋" w:cs="仿宋"/>
                <w:color w:val="000000"/>
                <w:sz w:val="24"/>
                <w:lang w:val="zh-CN"/>
              </w:rPr>
              <w:t>的，得</w:t>
            </w:r>
            <w:r>
              <w:rPr>
                <w:rFonts w:hint="eastAsia" w:ascii="仿宋" w:hAnsi="仿宋" w:eastAsia="仿宋" w:cs="仿宋"/>
                <w:color w:val="000000"/>
                <w:sz w:val="24"/>
              </w:rPr>
              <w:t>6分；</w:t>
            </w:r>
          </w:p>
          <w:p>
            <w:pPr>
              <w:spacing w:line="440" w:lineRule="exact"/>
              <w:rPr>
                <w:rFonts w:ascii="仿宋" w:hAnsi="仿宋" w:eastAsia="仿宋" w:cs="仿宋"/>
                <w:color w:val="000000"/>
                <w:sz w:val="24"/>
              </w:rPr>
            </w:pPr>
            <w:r>
              <w:rPr>
                <w:rFonts w:hint="eastAsia" w:ascii="仿宋" w:hAnsi="仿宋" w:eastAsia="仿宋" w:cs="仿宋"/>
                <w:color w:val="000000"/>
                <w:sz w:val="24"/>
              </w:rPr>
              <w:t>3.所投设备</w:t>
            </w:r>
            <w:r>
              <w:rPr>
                <w:rFonts w:hint="eastAsia" w:ascii="仿宋" w:hAnsi="仿宋" w:eastAsia="仿宋" w:cs="仿宋"/>
                <w:color w:val="000000"/>
                <w:sz w:val="24"/>
                <w:lang w:val="zh-CN"/>
              </w:rPr>
              <w:t>操作的实用性、拓展性一般的，得</w:t>
            </w:r>
            <w:r>
              <w:rPr>
                <w:rFonts w:hint="eastAsia" w:ascii="仿宋" w:hAnsi="仿宋" w:eastAsia="仿宋" w:cs="仿宋"/>
                <w:color w:val="000000"/>
                <w:sz w:val="24"/>
              </w:rPr>
              <w:t>3分；</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4.所投设备</w:t>
            </w:r>
            <w:r>
              <w:rPr>
                <w:rFonts w:hint="eastAsia" w:ascii="仿宋" w:hAnsi="仿宋" w:eastAsia="仿宋" w:cs="仿宋"/>
                <w:color w:val="000000"/>
                <w:sz w:val="24"/>
                <w:lang w:val="zh-CN"/>
              </w:rPr>
              <w:t>操作的实用性、拓展性差的，得</w:t>
            </w:r>
            <w:r>
              <w:rPr>
                <w:rFonts w:hint="eastAsia" w:ascii="仿宋" w:hAnsi="仿宋" w:eastAsia="仿宋" w:cs="仿宋"/>
                <w:color w:val="000000"/>
                <w:sz w:val="24"/>
              </w:rPr>
              <w:t>0分。</w:t>
            </w:r>
          </w:p>
        </w:tc>
        <w:tc>
          <w:tcPr>
            <w:tcW w:w="1352"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221" w:type="dxa"/>
            <w:gridSpan w:val="2"/>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合计</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55</w:t>
            </w:r>
          </w:p>
        </w:tc>
        <w:tc>
          <w:tcPr>
            <w:tcW w:w="5369"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得分合计</w:t>
            </w:r>
          </w:p>
        </w:tc>
        <w:tc>
          <w:tcPr>
            <w:tcW w:w="1352" w:type="dxa"/>
            <w:shd w:val="clear" w:color="000000" w:fill="auto"/>
            <w:noWrap w:val="0"/>
            <w:vAlign w:val="center"/>
          </w:tcPr>
          <w:p>
            <w:pPr>
              <w:rPr>
                <w:rFonts w:ascii="仿宋" w:hAnsi="仿宋" w:eastAsia="仿宋" w:cs="仿宋"/>
                <w:color w:val="000000"/>
                <w:sz w:val="24"/>
              </w:rPr>
            </w:pPr>
          </w:p>
        </w:tc>
      </w:tr>
    </w:tbl>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投标供应商应该符合《医疗器械监督管理条例》规定，如投标供应商为生产厂家，还应该符合《医疗器械生产质量管理规范》规定，如投标供应商为</w:t>
            </w:r>
            <w:r>
              <w:rPr>
                <w:rFonts w:hint="eastAsia" w:ascii="宋体" w:hAnsi="宋体" w:eastAsia="宋体" w:cs="宋体"/>
                <w:color w:val="auto"/>
                <w:kern w:val="0"/>
                <w:sz w:val="21"/>
                <w:szCs w:val="21"/>
                <w:highlight w:val="none"/>
                <w:lang w:val="zh-CN" w:eastAsia="zh-CN"/>
              </w:rPr>
              <w:t>经销商</w:t>
            </w:r>
            <w:r>
              <w:rPr>
                <w:rFonts w:hint="eastAsia" w:ascii="宋体" w:hAnsi="宋体" w:eastAsia="宋体" w:cs="宋体"/>
                <w:color w:val="auto"/>
                <w:kern w:val="0"/>
                <w:sz w:val="21"/>
                <w:szCs w:val="21"/>
                <w:highlight w:val="none"/>
                <w:lang w:val="zh-CN"/>
              </w:rPr>
              <w:t>还应符合《医疗</w:t>
            </w:r>
            <w:bookmarkStart w:id="6" w:name="_GoBack"/>
            <w:bookmarkEnd w:id="6"/>
            <w:r>
              <w:rPr>
                <w:rFonts w:hint="eastAsia" w:ascii="宋体" w:hAnsi="宋体" w:eastAsia="宋体" w:cs="宋体"/>
                <w:color w:val="auto"/>
                <w:kern w:val="0"/>
                <w:sz w:val="21"/>
                <w:szCs w:val="21"/>
                <w:highlight w:val="none"/>
                <w:lang w:val="zh-CN"/>
              </w:rPr>
              <w:t>器械经营质量管理规范》规定，并结合本项目特性提供有效的医疗器械产品注册/备案证明材料和投标供应商的经营许可/备案证明材料。</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投标供应商须要在投标文件做出具承诺函，该承诺函包括但不限于以下内容:</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承诺中标后须在中标公告发布之日起五个工作日内提供设备制造厂商开具并盖章的合法有效的授权函原件（盖鲜章）、售后服务承诺函原件（盖鲜章）。</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中标供应商须提供设备原厂质保（设备原厂质量保修范围和保修期）至少为 1 年</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本合同的每笔款项以人民币转账方式支付，合同设备到采购人指定地点交付并完成安装，验收合格后，中标单位凭：</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（1）合同；</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（2）验收调试合格报告（加盖采购人公章）；</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（3）中标供应商开具的正式发票（加盖发票专用章）。</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具体付款方式：合同签订后，中标供应商须提供相同金额的收款收据；中标供应商按合同协议时间提供设备，并经协议规定的验收机构书面确认验收合格后，开具全额发票，采购人确认发票无误后一个月内支付合同总金额的95%；合同总金额的5%在质保期满后一次性无息支付</w:t>
            </w:r>
            <w:r>
              <w:rPr>
                <w:rFonts w:hint="eastAsia" w:ascii="宋体" w:hAnsi="宋体" w:cs="宋体"/>
                <w:color w:val="auto"/>
                <w:kern w:val="0"/>
                <w:sz w:val="21"/>
                <w:szCs w:val="21"/>
                <w:highlight w:val="none"/>
                <w:lang w:val="zh-CN" w:eastAsia="zh-CN"/>
              </w:rPr>
              <w:t>。</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重要</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检测原理：电化学检测原理</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测定范围：1-3500ppb</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自动恒定呼气流量：</w:t>
            </w:r>
            <w:r>
              <w:rPr>
                <w:rFonts w:hint="eastAsia" w:ascii="宋体" w:hAnsi="宋体" w:eastAsia="宋体" w:cs="宋体"/>
                <w:color w:val="auto"/>
                <w:kern w:val="0"/>
                <w:sz w:val="21"/>
                <w:szCs w:val="21"/>
                <w:highlight w:val="none"/>
                <w:lang w:val="en-US" w:eastAsia="zh-CN"/>
              </w:rPr>
              <w:t>有</w:t>
            </w:r>
            <w:r>
              <w:rPr>
                <w:rFonts w:hint="eastAsia" w:ascii="宋体" w:hAnsi="宋体" w:eastAsia="宋体" w:cs="宋体"/>
                <w:color w:val="auto"/>
                <w:kern w:val="0"/>
                <w:sz w:val="21"/>
                <w:szCs w:val="21"/>
                <w:highlight w:val="none"/>
                <w:lang w:val="zh-CN" w:eastAsia="zh-CN"/>
              </w:rPr>
              <w:t>恒流控制系统，在</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-3kPa任意变化的呼气压力下，均可保证患者呼出流量保持稳定在50ml/s±1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zh-CN" w:eastAsia="zh-CN"/>
              </w:rPr>
              <w:t>%或200ml/s±1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一氧化氮过滤功能：有过滤外源性NO功能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训练模式：有训练模式功能进行呼气训练</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智能温湿度控制功能：有智能温湿度调节功能。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防冷凝功能：有防冷凝设计。</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具备6岁至15岁儿童呼出气体一氧化氮检测功能，具备1月至5岁潮气呼出气体一氧化氮检测功能，配备跟设备相适应潮气呼出气体收集装置。</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设备操作系统：具备创建、录入并编辑患者姓名、性别、年龄，基本情况、检查报告</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及提供患者历史记录查看功能。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屏幕要求：10-11英寸彩色液晶显示器，触摸操作。</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网络要求：设备WIFI网络功能，通过网络连接设备数据，可通过后台系统查看分析检测结果，可从年龄、用药情况等进行智能查询。</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打印功能：内置热敏打印机及外接打印机打印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传感器类型：电化学传感器</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传感器原理：电解质电池原理</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测定参数：CaNO、FeNO、FnNO</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测定</w:t>
            </w:r>
            <w:r>
              <w:rPr>
                <w:rFonts w:hint="eastAsia" w:ascii="宋体" w:hAnsi="宋体" w:eastAsia="宋体" w:cs="宋体"/>
                <w:color w:val="auto"/>
                <w:kern w:val="0"/>
                <w:sz w:val="21"/>
                <w:szCs w:val="21"/>
                <w:highlight w:val="none"/>
                <w:lang w:val="zh-CN" w:eastAsia="zh-CN" w:bidi="ar-SA"/>
              </w:rPr>
              <w:t>误差：测量结果重复性≤5%。</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rPr>
      </w:pPr>
    </w:p>
    <w:p>
      <w:pPr>
        <w:pStyle w:val="2"/>
        <w:rPr>
          <w:rFonts w:hint="eastAsia"/>
        </w:rPr>
      </w:pPr>
    </w:p>
    <w:p>
      <w:pPr>
        <w:pStyle w:val="2"/>
        <w:rPr>
          <w:rFonts w:hint="eastAsia"/>
        </w:rPr>
      </w:pPr>
    </w:p>
    <w:tbl>
      <w:tblPr>
        <w:tblStyle w:val="15"/>
        <w:tblpPr w:leftFromText="180" w:rightFromText="180" w:vertAnchor="text" w:horzAnchor="page" w:tblpX="1176" w:tblpY="1177"/>
        <w:tblOverlap w:val="never"/>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894"/>
        <w:gridCol w:w="1128"/>
        <w:gridCol w:w="1297"/>
        <w:gridCol w:w="146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28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128"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297"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466"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378"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2894"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呼吸手柄</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个</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2894" w:type="dxa"/>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电源适配器</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个</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rPr>
            </w:pPr>
          </w:p>
        </w:tc>
        <w:tc>
          <w:tcPr>
            <w:tcW w:w="2894"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p>
        </w:tc>
        <w:tc>
          <w:tcPr>
            <w:tcW w:w="2894"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耗材报价单</w:t>
      </w:r>
    </w:p>
    <w:p>
      <w:pPr>
        <w:rPr>
          <w:rFonts w:hint="eastAsia" w:ascii="宋体" w:hAnsi="宋体" w:eastAsia="宋体" w:cs="宋体"/>
          <w:color w:val="FF0000"/>
          <w:sz w:val="24"/>
          <w:szCs w:val="24"/>
          <w:highlight w:val="none"/>
        </w:rPr>
      </w:pPr>
    </w:p>
    <w:tbl>
      <w:tblPr>
        <w:tblStyle w:val="14"/>
        <w:tblpPr w:leftFromText="180" w:rightFromText="180" w:vertAnchor="text" w:horzAnchor="page" w:tblpXSpec="center" w:tblpY="205"/>
        <w:tblOverlap w:val="never"/>
        <w:tblW w:w="5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8"/>
        <w:gridCol w:w="1186"/>
        <w:gridCol w:w="1335"/>
        <w:gridCol w:w="1005"/>
        <w:gridCol w:w="1169"/>
        <w:gridCol w:w="1107"/>
        <w:gridCol w:w="1248"/>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560" w:lineRule="exact"/>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序号</w:t>
            </w:r>
          </w:p>
        </w:tc>
        <w:tc>
          <w:tcPr>
            <w:tcW w:w="52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产品名称</w:t>
            </w:r>
          </w:p>
        </w:tc>
        <w:tc>
          <w:tcPr>
            <w:tcW w:w="55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规格型号</w:t>
            </w:r>
          </w:p>
        </w:tc>
        <w:tc>
          <w:tcPr>
            <w:tcW w:w="62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产品注册证</w:t>
            </w:r>
          </w:p>
        </w:tc>
        <w:tc>
          <w:tcPr>
            <w:tcW w:w="471"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药交ID</w:t>
            </w:r>
          </w:p>
        </w:tc>
        <w:tc>
          <w:tcPr>
            <w:tcW w:w="548"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产品编码</w:t>
            </w:r>
          </w:p>
        </w:tc>
        <w:tc>
          <w:tcPr>
            <w:tcW w:w="51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国家医保耗材代码</w:t>
            </w:r>
          </w:p>
        </w:tc>
        <w:tc>
          <w:tcPr>
            <w:tcW w:w="585"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省平台联盟区现价</w:t>
            </w:r>
          </w:p>
        </w:tc>
        <w:tc>
          <w:tcPr>
            <w:tcW w:w="406"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投标报价</w:t>
            </w:r>
          </w:p>
        </w:tc>
        <w:tc>
          <w:tcPr>
            <w:tcW w:w="406" w:type="pct"/>
            <w:vAlign w:val="center"/>
          </w:tcPr>
          <w:p>
            <w:pPr>
              <w:pStyle w:val="21"/>
              <w:keepNext w:val="0"/>
              <w:adjustRightInd/>
              <w:spacing w:before="0" w:after="0" w:line="560" w:lineRule="exact"/>
              <w:textAlignment w:val="auto"/>
              <w:rPr>
                <w:rFonts w:hint="default" w:ascii="宋体" w:hAnsi="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50" w:type="pct"/>
            <w:vAlign w:val="center"/>
          </w:tcPr>
          <w:p>
            <w:pPr>
              <w:spacing w:line="560" w:lineRule="exact"/>
              <w:jc w:val="center"/>
              <w:rPr>
                <w:rFonts w:hint="eastAsia" w:ascii="宋体" w:hAnsi="宋体" w:eastAsia="宋体" w:cs="宋体"/>
                <w:b/>
                <w:color w:val="auto"/>
                <w:sz w:val="26"/>
                <w:szCs w:val="26"/>
              </w:rPr>
            </w:pPr>
          </w:p>
        </w:tc>
        <w:tc>
          <w:tcPr>
            <w:tcW w:w="529" w:type="pct"/>
            <w:vAlign w:val="center"/>
          </w:tcPr>
          <w:p>
            <w:pPr>
              <w:spacing w:line="560" w:lineRule="exact"/>
              <w:jc w:val="center"/>
              <w:rPr>
                <w:rFonts w:hint="eastAsia" w:ascii="宋体" w:hAnsi="宋体" w:eastAsia="宋体" w:cs="宋体"/>
                <w:b/>
                <w:color w:val="auto"/>
                <w:sz w:val="26"/>
                <w:szCs w:val="26"/>
              </w:rPr>
            </w:pPr>
          </w:p>
        </w:tc>
        <w:tc>
          <w:tcPr>
            <w:tcW w:w="556" w:type="pct"/>
            <w:vAlign w:val="center"/>
          </w:tcPr>
          <w:p>
            <w:pPr>
              <w:spacing w:line="560" w:lineRule="exact"/>
              <w:jc w:val="center"/>
              <w:rPr>
                <w:rFonts w:hint="eastAsia" w:ascii="宋体" w:hAnsi="宋体" w:eastAsia="宋体" w:cs="宋体"/>
                <w:color w:val="auto"/>
                <w:sz w:val="26"/>
                <w:szCs w:val="26"/>
              </w:rPr>
            </w:pPr>
          </w:p>
        </w:tc>
        <w:tc>
          <w:tcPr>
            <w:tcW w:w="626" w:type="pct"/>
            <w:vAlign w:val="center"/>
          </w:tcPr>
          <w:p>
            <w:pPr>
              <w:spacing w:line="560" w:lineRule="exact"/>
              <w:jc w:val="center"/>
              <w:rPr>
                <w:rFonts w:hint="eastAsia" w:ascii="宋体" w:hAnsi="宋体" w:eastAsia="宋体" w:cs="宋体"/>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548" w:type="pct"/>
            <w:vAlign w:val="center"/>
          </w:tcPr>
          <w:p>
            <w:pPr>
              <w:spacing w:line="560" w:lineRule="exact"/>
              <w:jc w:val="center"/>
              <w:rPr>
                <w:rFonts w:hint="eastAsia" w:ascii="宋体" w:hAnsi="宋体" w:eastAsia="宋体" w:cs="宋体"/>
                <w:color w:val="auto"/>
                <w:sz w:val="26"/>
                <w:szCs w:val="26"/>
              </w:rPr>
            </w:pPr>
          </w:p>
        </w:tc>
        <w:tc>
          <w:tcPr>
            <w:tcW w:w="519" w:type="pct"/>
            <w:vAlign w:val="center"/>
          </w:tcPr>
          <w:p>
            <w:pPr>
              <w:spacing w:line="560" w:lineRule="exact"/>
              <w:jc w:val="center"/>
              <w:rPr>
                <w:rFonts w:hint="eastAsia" w:ascii="宋体" w:hAnsi="宋体" w:eastAsia="宋体" w:cs="宋体"/>
                <w:color w:val="auto"/>
                <w:sz w:val="26"/>
                <w:szCs w:val="26"/>
              </w:rPr>
            </w:pPr>
          </w:p>
        </w:tc>
        <w:tc>
          <w:tcPr>
            <w:tcW w:w="585"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6"/>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r>
        <w:rPr>
          <w:rFonts w:hint="eastAsia" w:ascii="宋体" w:hAnsi="宋体" w:cs="宋体"/>
          <w:color w:val="auto"/>
          <w:sz w:val="24"/>
          <w:szCs w:val="24"/>
          <w:highlight w:val="none"/>
          <w:lang w:val="en-US" w:eastAsia="zh-CN"/>
        </w:rPr>
        <w:t>证</w:t>
      </w:r>
    </w:p>
    <w:p>
      <w:pPr>
        <w:numPr>
          <w:ilvl w:val="0"/>
          <w:numId w:val="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4">
    <w:nsid w:val="2AE62C51"/>
    <w:multiLevelType w:val="singleLevel"/>
    <w:tmpl w:val="2AE62C51"/>
    <w:lvl w:ilvl="0" w:tentative="0">
      <w:start w:val="1"/>
      <w:numFmt w:val="decimal"/>
      <w:suff w:val="space"/>
      <w:lvlText w:val="1.%1"/>
      <w:lvlJc w:val="left"/>
      <w:pPr>
        <w:tabs>
          <w:tab w:val="left" w:pos="0"/>
        </w:tabs>
      </w:pPr>
      <w:rPr>
        <w:rFonts w:hint="default" w:ascii="宋体" w:hAnsi="宋体" w:eastAsia="宋体" w:cs="宋体"/>
      </w:rPr>
    </w:lvl>
  </w:abstractNum>
  <w:abstractNum w:abstractNumId="5">
    <w:nsid w:val="5BD09351"/>
    <w:multiLevelType w:val="singleLevel"/>
    <w:tmpl w:val="5BD09351"/>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9BD0BCC"/>
    <w:rsid w:val="1A7850C9"/>
    <w:rsid w:val="26E9186E"/>
    <w:rsid w:val="62951A17"/>
    <w:rsid w:val="73CD0149"/>
    <w:rsid w:val="7886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6114</Words>
  <Characters>6355</Characters>
  <Lines>0</Lines>
  <Paragraphs>0</Paragraphs>
  <TotalTime>2</TotalTime>
  <ScaleCrop>false</ScaleCrop>
  <LinksUpToDate>false</LinksUpToDate>
  <CharactersWithSpaces>6608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2022-11-26T08:53:13Z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E7BA3A01E01D4BD9B118B4C534D56E56</vt:lpwstr>
  </property>
</Properties>
</file>