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ascii="宋体" w:hAnsi="宋体" w:cs="宋体"/>
          <w:b/>
          <w:sz w:val="24"/>
        </w:rPr>
      </w:pPr>
    </w:p>
    <w:p>
      <w:pPr>
        <w:tabs>
          <w:tab w:val="left" w:pos="420"/>
          <w:tab w:val="left" w:pos="6660"/>
        </w:tabs>
        <w:spacing w:line="360" w:lineRule="auto"/>
        <w:jc w:val="center"/>
        <w:rPr>
          <w:rFonts w:ascii="宋体" w:hAnsi="宋体" w:cs="宋体"/>
          <w:b/>
          <w:sz w:val="24"/>
        </w:rPr>
      </w:pPr>
    </w:p>
    <w:p>
      <w:pPr>
        <w:pStyle w:val="61"/>
      </w:pPr>
    </w:p>
    <w:p>
      <w:pPr>
        <w:tabs>
          <w:tab w:val="left" w:pos="420"/>
          <w:tab w:val="left" w:pos="6660"/>
        </w:tabs>
        <w:spacing w:line="360" w:lineRule="auto"/>
        <w:jc w:val="center"/>
        <w:rPr>
          <w:rFonts w:ascii="宋体" w:hAnsi="宋体" w:cs="宋体"/>
          <w:b/>
          <w:sz w:val="72"/>
          <w:szCs w:val="72"/>
        </w:rPr>
      </w:pPr>
      <w:r>
        <w:rPr>
          <w:rFonts w:hint="eastAsia" w:ascii="宋体" w:hAnsi="宋体" w:cs="宋体"/>
          <w:b/>
          <w:sz w:val="72"/>
          <w:szCs w:val="72"/>
        </w:rPr>
        <w:t>谈 判 文 件</w:t>
      </w:r>
    </w:p>
    <w:p>
      <w:pPr>
        <w:widowControl/>
        <w:spacing w:line="360" w:lineRule="auto"/>
        <w:jc w:val="center"/>
        <w:rPr>
          <w:rFonts w:ascii="宋体" w:hAnsi="宋体" w:cs="宋体"/>
          <w:b/>
          <w:sz w:val="36"/>
          <w:szCs w:val="36"/>
        </w:rPr>
      </w:pPr>
    </w:p>
    <w:p>
      <w:pPr>
        <w:pStyle w:val="3"/>
        <w:rPr>
          <w:rFonts w:ascii="宋体" w:hAnsi="宋体" w:cs="宋体"/>
          <w:b/>
          <w:sz w:val="36"/>
          <w:szCs w:val="36"/>
        </w:rPr>
      </w:pPr>
    </w:p>
    <w:p>
      <w:pPr>
        <w:pStyle w:val="4"/>
        <w:rPr>
          <w:rFonts w:ascii="宋体" w:hAnsi="宋体" w:cs="宋体"/>
          <w:b/>
          <w:sz w:val="36"/>
          <w:szCs w:val="36"/>
        </w:rPr>
      </w:pPr>
    </w:p>
    <w:p>
      <w:pPr>
        <w:rPr>
          <w:rFonts w:ascii="宋体" w:hAnsi="宋体" w:cs="宋体"/>
          <w:b/>
          <w:sz w:val="36"/>
          <w:szCs w:val="36"/>
        </w:rPr>
      </w:pPr>
    </w:p>
    <w:p>
      <w:pPr>
        <w:pStyle w:val="3"/>
        <w:rPr>
          <w:rFonts w:ascii="宋体" w:hAnsi="宋体" w:cs="宋体"/>
          <w:b/>
          <w:sz w:val="36"/>
          <w:szCs w:val="36"/>
        </w:rPr>
      </w:pPr>
    </w:p>
    <w:p>
      <w:pPr>
        <w:pStyle w:val="4"/>
        <w:rPr>
          <w:rFonts w:ascii="宋体" w:hAnsi="宋体" w:cs="宋体"/>
          <w:b/>
          <w:sz w:val="36"/>
          <w:szCs w:val="36"/>
        </w:rPr>
      </w:pPr>
    </w:p>
    <w:p>
      <w:pPr>
        <w:rPr>
          <w:rFonts w:ascii="宋体" w:hAnsi="宋体" w:cs="宋体"/>
          <w:sz w:val="36"/>
          <w:szCs w:val="36"/>
        </w:rPr>
      </w:pPr>
    </w:p>
    <w:p>
      <w:pPr>
        <w:widowControl/>
        <w:spacing w:line="360" w:lineRule="auto"/>
        <w:jc w:val="center"/>
        <w:rPr>
          <w:rFonts w:ascii="宋体" w:hAnsi="宋体" w:cs="宋体"/>
          <w:b/>
          <w:sz w:val="36"/>
          <w:szCs w:val="36"/>
        </w:rPr>
      </w:pPr>
    </w:p>
    <w:p>
      <w:pPr>
        <w:shd w:val="clear" w:color="auto" w:fill="FFFFFF"/>
        <w:spacing w:line="360" w:lineRule="auto"/>
        <w:jc w:val="center"/>
        <w:textAlignment w:val="baseline"/>
        <w:rPr>
          <w:rFonts w:hint="eastAsia" w:ascii="宋体" w:hAnsi="宋体" w:cs="宋体"/>
          <w:b/>
          <w:bCs/>
          <w:sz w:val="36"/>
          <w:szCs w:val="36"/>
          <w:lang w:val="en-US" w:eastAsia="zh-CN"/>
        </w:rPr>
      </w:pPr>
      <w:r>
        <w:rPr>
          <w:rFonts w:hint="eastAsia" w:ascii="宋体" w:hAnsi="宋体" w:cs="宋体"/>
          <w:b/>
          <w:bCs/>
          <w:sz w:val="36"/>
          <w:szCs w:val="36"/>
        </w:rPr>
        <w:t>项目名称：中山市小榄人民医院</w:t>
      </w:r>
      <w:r>
        <w:rPr>
          <w:rFonts w:hint="eastAsia" w:ascii="宋体" w:hAnsi="宋体" w:cs="宋体"/>
          <w:b/>
          <w:bCs/>
          <w:sz w:val="36"/>
          <w:szCs w:val="36"/>
          <w:lang w:val="en-US" w:eastAsia="zh-CN"/>
        </w:rPr>
        <w:t>全自动药品单剂量分包机维保项目</w:t>
      </w:r>
    </w:p>
    <w:p>
      <w:pPr>
        <w:widowControl/>
        <w:spacing w:line="360" w:lineRule="auto"/>
        <w:jc w:val="center"/>
        <w:rPr>
          <w:rFonts w:ascii="宋体" w:hAnsi="宋体" w:cs="宋体"/>
          <w:b/>
          <w:sz w:val="36"/>
          <w:szCs w:val="36"/>
        </w:rPr>
      </w:pPr>
    </w:p>
    <w:p>
      <w:pPr>
        <w:widowControl/>
        <w:spacing w:line="360" w:lineRule="auto"/>
        <w:jc w:val="center"/>
        <w:rPr>
          <w:rFonts w:ascii="宋体" w:hAnsi="宋体" w:cs="宋体"/>
          <w:b/>
          <w:sz w:val="36"/>
          <w:szCs w:val="36"/>
        </w:rPr>
      </w:pPr>
    </w:p>
    <w:p>
      <w:pPr>
        <w:widowControl/>
        <w:spacing w:line="360" w:lineRule="auto"/>
        <w:ind w:firstLine="420"/>
        <w:rPr>
          <w:rFonts w:ascii="宋体" w:hAnsi="宋体" w:cs="宋体"/>
          <w:b/>
          <w:bCs/>
          <w:sz w:val="36"/>
          <w:szCs w:val="36"/>
          <w:u w:val="single"/>
        </w:rPr>
      </w:pPr>
    </w:p>
    <w:p>
      <w:pPr>
        <w:pStyle w:val="3"/>
        <w:rPr>
          <w:rFonts w:ascii="宋体" w:hAnsi="宋体" w:cs="宋体"/>
          <w:b/>
          <w:bCs/>
          <w:sz w:val="36"/>
          <w:szCs w:val="36"/>
          <w:u w:val="single"/>
        </w:rPr>
      </w:pPr>
    </w:p>
    <w:p>
      <w:pPr>
        <w:pStyle w:val="4"/>
        <w:rPr>
          <w:rFonts w:ascii="宋体" w:hAnsi="宋体" w:cs="宋体"/>
          <w:sz w:val="36"/>
          <w:szCs w:val="36"/>
        </w:rPr>
      </w:pPr>
    </w:p>
    <w:p>
      <w:pPr>
        <w:spacing w:line="360" w:lineRule="auto"/>
        <w:rPr>
          <w:rFonts w:ascii="宋体" w:hAnsi="宋体" w:cs="宋体"/>
          <w:b/>
          <w:bCs/>
          <w:sz w:val="36"/>
          <w:szCs w:val="36"/>
        </w:rPr>
      </w:pPr>
    </w:p>
    <w:p>
      <w:pPr>
        <w:tabs>
          <w:tab w:val="left" w:pos="0"/>
          <w:tab w:val="left" w:pos="426"/>
        </w:tabs>
        <w:wordWrap w:val="0"/>
        <w:spacing w:line="360" w:lineRule="auto"/>
        <w:ind w:firstLine="723" w:firstLineChars="200"/>
        <w:jc w:val="center"/>
        <w:rPr>
          <w:rFonts w:ascii="宋体" w:hAnsi="宋体" w:cs="宋体"/>
          <w:b/>
          <w:sz w:val="36"/>
          <w:szCs w:val="36"/>
        </w:rPr>
      </w:pPr>
      <w:r>
        <w:rPr>
          <w:rFonts w:hint="eastAsia" w:ascii="宋体" w:hAnsi="宋体" w:cs="宋体"/>
          <w:b/>
          <w:bCs/>
          <w:sz w:val="36"/>
          <w:szCs w:val="36"/>
        </w:rPr>
        <w:t>2022年</w:t>
      </w:r>
      <w:r>
        <w:rPr>
          <w:rFonts w:hint="eastAsia" w:ascii="宋体" w:hAnsi="宋体" w:cs="宋体"/>
          <w:b/>
          <w:bCs/>
          <w:sz w:val="36"/>
          <w:szCs w:val="36"/>
          <w:lang w:val="en-US" w:eastAsia="zh-CN"/>
        </w:rPr>
        <w:t>11</w:t>
      </w:r>
      <w:r>
        <w:rPr>
          <w:rFonts w:hint="eastAsia" w:ascii="宋体" w:hAnsi="宋体" w:cs="宋体"/>
          <w:b/>
          <w:bCs/>
          <w:sz w:val="36"/>
          <w:szCs w:val="36"/>
        </w:rPr>
        <w:t>月</w:t>
      </w:r>
    </w:p>
    <w:p>
      <w:pPr>
        <w:spacing w:line="360" w:lineRule="auto"/>
        <w:rPr>
          <w:rFonts w:ascii="宋体" w:hAnsi="宋体" w:cs="宋体"/>
          <w:sz w:val="24"/>
        </w:rPr>
      </w:pPr>
    </w:p>
    <w:p>
      <w:pPr>
        <w:rPr>
          <w:rFonts w:ascii="宋体" w:hAnsi="宋体" w:cs="宋体"/>
          <w:sz w:val="36"/>
          <w:szCs w:val="36"/>
        </w:rPr>
      </w:pPr>
    </w:p>
    <w:p>
      <w:pPr>
        <w:pStyle w:val="61"/>
      </w:pPr>
    </w:p>
    <w:sdt>
      <w:sdtPr>
        <w:rPr>
          <w:rFonts w:hint="eastAsia" w:ascii="宋体" w:hAnsi="宋体" w:eastAsia="黑体" w:cs="宋体"/>
          <w:b/>
          <w:bCs/>
          <w:spacing w:val="40"/>
          <w:kern w:val="0"/>
          <w:sz w:val="48"/>
          <w:szCs w:val="48"/>
          <w:u w:val="single"/>
        </w:rPr>
        <w:id w:val="147466740"/>
        <w:docPartObj>
          <w:docPartGallery w:val="Table of Contents"/>
          <w:docPartUnique/>
        </w:docPartObj>
      </w:sdtPr>
      <w:sdtEndPr>
        <w:rPr>
          <w:rFonts w:hint="eastAsia" w:ascii="宋体" w:hAnsi="宋体" w:eastAsia="黑体" w:cs="宋体"/>
          <w:b/>
          <w:bCs/>
          <w:spacing w:val="40"/>
          <w:kern w:val="0"/>
          <w:sz w:val="24"/>
          <w:szCs w:val="24"/>
          <w:u w:val="single"/>
        </w:rPr>
      </w:sdtEndPr>
      <w:sdtContent>
        <w:p>
          <w:pPr>
            <w:jc w:val="center"/>
            <w:rPr>
              <w:rFonts w:ascii="宋体" w:hAnsi="宋体" w:cs="宋体"/>
              <w:b/>
              <w:bCs/>
              <w:sz w:val="48"/>
              <w:szCs w:val="48"/>
            </w:rPr>
          </w:pPr>
          <w:r>
            <w:rPr>
              <w:rFonts w:hint="eastAsia" w:ascii="宋体" w:hAnsi="宋体" w:cs="宋体"/>
              <w:b/>
              <w:bCs/>
              <w:sz w:val="48"/>
              <w:szCs w:val="48"/>
            </w:rPr>
            <w:t>目录</w:t>
          </w: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rPr>
          </w:pPr>
        </w:p>
        <w:p>
          <w:pPr>
            <w:pStyle w:val="34"/>
            <w:tabs>
              <w:tab w:val="right" w:leader="dot" w:pos="10546"/>
              <w:tab w:val="clear" w:pos="9540"/>
            </w:tabs>
          </w:pPr>
          <w:r>
            <w:rPr>
              <w:rFonts w:hint="eastAsia" w:cs="宋体"/>
              <w:sz w:val="24"/>
              <w:szCs w:val="24"/>
            </w:rPr>
            <w:fldChar w:fldCharType="begin"/>
          </w:r>
          <w:r>
            <w:rPr>
              <w:rFonts w:hint="eastAsia" w:cs="宋体"/>
              <w:sz w:val="24"/>
              <w:szCs w:val="24"/>
            </w:rPr>
            <w:instrText xml:space="preserve">TOC \o "1-1" \h \u </w:instrText>
          </w:r>
          <w:r>
            <w:rPr>
              <w:rFonts w:hint="eastAsia" w:cs="宋体"/>
              <w:sz w:val="24"/>
              <w:szCs w:val="24"/>
            </w:rPr>
            <w:fldChar w:fldCharType="separate"/>
          </w:r>
          <w:r>
            <w:fldChar w:fldCharType="begin"/>
          </w:r>
          <w:r>
            <w:instrText xml:space="preserve"> HYPERLINK \l "_Toc24434" </w:instrText>
          </w:r>
          <w:r>
            <w:fldChar w:fldCharType="separate"/>
          </w:r>
          <w:r>
            <w:rPr>
              <w:rFonts w:hint="eastAsia"/>
            </w:rPr>
            <w:t>第一部分  谈判邀请函</w:t>
          </w:r>
          <w:r>
            <w:tab/>
          </w:r>
          <w:r>
            <w:fldChar w:fldCharType="begin"/>
          </w:r>
          <w:r>
            <w:instrText xml:space="preserve"> PAGEREF _Toc24434 \h </w:instrText>
          </w:r>
          <w:r>
            <w:fldChar w:fldCharType="separate"/>
          </w:r>
          <w:r>
            <w:t>3</w:t>
          </w:r>
          <w:r>
            <w:fldChar w:fldCharType="end"/>
          </w:r>
          <w:r>
            <w:fldChar w:fldCharType="end"/>
          </w:r>
        </w:p>
        <w:p>
          <w:pPr>
            <w:pStyle w:val="34"/>
            <w:tabs>
              <w:tab w:val="right" w:leader="dot" w:pos="10546"/>
              <w:tab w:val="clear" w:pos="9540"/>
            </w:tabs>
          </w:pPr>
          <w:r>
            <w:fldChar w:fldCharType="begin"/>
          </w:r>
          <w:r>
            <w:instrText xml:space="preserve"> HYPERLINK \l "_Toc12623" </w:instrText>
          </w:r>
          <w:r>
            <w:fldChar w:fldCharType="separate"/>
          </w:r>
          <w:r>
            <w:rPr>
              <w:rFonts w:hint="eastAsia"/>
            </w:rPr>
            <w:t>第二部分　采购需求书</w:t>
          </w:r>
          <w:r>
            <w:tab/>
          </w:r>
          <w:r>
            <w:fldChar w:fldCharType="begin"/>
          </w:r>
          <w:r>
            <w:instrText xml:space="preserve"> PAGEREF _Toc12623 \h </w:instrText>
          </w:r>
          <w:r>
            <w:fldChar w:fldCharType="separate"/>
          </w:r>
          <w:r>
            <w:t>6</w:t>
          </w:r>
          <w:r>
            <w:fldChar w:fldCharType="end"/>
          </w:r>
          <w:r>
            <w:fldChar w:fldCharType="end"/>
          </w:r>
        </w:p>
        <w:p>
          <w:pPr>
            <w:pStyle w:val="34"/>
            <w:tabs>
              <w:tab w:val="right" w:leader="dot" w:pos="10546"/>
              <w:tab w:val="clear" w:pos="9540"/>
            </w:tabs>
          </w:pPr>
          <w:r>
            <w:fldChar w:fldCharType="begin"/>
          </w:r>
          <w:r>
            <w:instrText xml:space="preserve"> HYPERLINK \l "_Toc32635" </w:instrText>
          </w:r>
          <w:r>
            <w:fldChar w:fldCharType="separate"/>
          </w:r>
          <w:r>
            <w:rPr>
              <w:rFonts w:hint="eastAsia"/>
            </w:rPr>
            <w:t>第三部分  评分标准</w:t>
          </w:r>
          <w:r>
            <w:tab/>
          </w:r>
          <w:r>
            <w:rPr>
              <w:rFonts w:hint="eastAsia"/>
            </w:rPr>
            <w:t>11</w:t>
          </w:r>
          <w:r>
            <w:rPr>
              <w:rFonts w:hint="eastAsia"/>
            </w:rPr>
            <w:fldChar w:fldCharType="end"/>
          </w:r>
        </w:p>
        <w:p>
          <w:pPr>
            <w:pStyle w:val="34"/>
            <w:tabs>
              <w:tab w:val="right" w:leader="dot" w:pos="10546"/>
              <w:tab w:val="clear" w:pos="9540"/>
            </w:tabs>
          </w:pPr>
          <w:r>
            <w:fldChar w:fldCharType="begin"/>
          </w:r>
          <w:r>
            <w:instrText xml:space="preserve"> HYPERLINK \l "_Toc26271" </w:instrText>
          </w:r>
          <w:r>
            <w:fldChar w:fldCharType="separate"/>
          </w:r>
          <w:r>
            <w:rPr>
              <w:rFonts w:hint="eastAsia"/>
            </w:rPr>
            <w:t>第四部分　报价文件格式</w:t>
          </w:r>
          <w:r>
            <w:tab/>
          </w:r>
          <w:r>
            <w:rPr>
              <w:rFonts w:hint="eastAsia"/>
            </w:rPr>
            <w:t>17</w:t>
          </w:r>
          <w:r>
            <w:rPr>
              <w:rFonts w:hint="eastAsia"/>
            </w:rPr>
            <w:fldChar w:fldCharType="end"/>
          </w:r>
        </w:p>
        <w:p>
          <w:pPr>
            <w:pStyle w:val="38"/>
            <w:tabs>
              <w:tab w:val="left" w:pos="8163"/>
            </w:tabs>
            <w:rPr>
              <w:rFonts w:ascii="宋体" w:hAnsi="宋体" w:eastAsia="宋体" w:cs="宋体"/>
              <w:sz w:val="24"/>
              <w:szCs w:val="24"/>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szCs w:val="24"/>
            </w:rPr>
            <w:fldChar w:fldCharType="end"/>
          </w:r>
        </w:p>
      </w:sdtContent>
    </w:sdt>
    <w:p>
      <w:pPr>
        <w:spacing w:line="360" w:lineRule="auto"/>
        <w:rPr>
          <w:rFonts w:ascii="宋体" w:hAnsi="宋体" w:cs="宋体"/>
          <w:sz w:val="24"/>
        </w:rPr>
      </w:pPr>
    </w:p>
    <w:p>
      <w:pPr>
        <w:spacing w:line="360" w:lineRule="auto"/>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rPr>
      </w:pPr>
    </w:p>
    <w:p>
      <w:pPr>
        <w:spacing w:line="360" w:lineRule="auto"/>
        <w:jc w:val="center"/>
        <w:rPr>
          <w:rFonts w:ascii="宋体" w:hAnsi="宋体" w:cs="宋体"/>
          <w:sz w:val="24"/>
        </w:rPr>
      </w:pPr>
    </w:p>
    <w:p>
      <w:pPr>
        <w:pStyle w:val="5"/>
        <w:jc w:val="center"/>
      </w:pPr>
      <w:bookmarkStart w:id="0" w:name="_Toc26272340"/>
      <w:bookmarkStart w:id="1" w:name="_Toc24434"/>
      <w:r>
        <w:rPr>
          <w:rFonts w:hint="eastAsia"/>
        </w:rPr>
        <w:t xml:space="preserve">第一部分  </w:t>
      </w:r>
      <w:bookmarkEnd w:id="0"/>
      <w:r>
        <w:rPr>
          <w:rFonts w:hint="eastAsia"/>
        </w:rPr>
        <w:t>谈判邀请函</w:t>
      </w:r>
      <w:bookmarkEnd w:id="1"/>
    </w:p>
    <w:p>
      <w:pPr>
        <w:spacing w:line="360" w:lineRule="auto"/>
        <w:rPr>
          <w:rFonts w:ascii="宋体" w:hAnsi="宋体" w:cs="宋体"/>
          <w:kern w:val="0"/>
          <w:sz w:val="24"/>
        </w:rPr>
      </w:pPr>
    </w:p>
    <w:p>
      <w:pPr>
        <w:adjustRightInd w:val="0"/>
        <w:snapToGrid w:val="0"/>
        <w:spacing w:line="360" w:lineRule="auto"/>
        <w:jc w:val="center"/>
        <w:rPr>
          <w:rFonts w:ascii="宋体" w:hAnsi="宋体" w:cs="宋体"/>
          <w:b/>
          <w:kern w:val="28"/>
          <w:sz w:val="24"/>
        </w:rPr>
      </w:pPr>
      <w:r>
        <w:rPr>
          <w:rFonts w:hint="eastAsia" w:ascii="宋体" w:hAnsi="宋体" w:cs="宋体"/>
          <w:b/>
          <w:kern w:val="28"/>
          <w:sz w:val="24"/>
        </w:rPr>
        <w:br w:type="page"/>
      </w:r>
    </w:p>
    <w:p>
      <w:pPr>
        <w:adjustRightInd w:val="0"/>
        <w:snapToGrid w:val="0"/>
        <w:spacing w:line="360" w:lineRule="auto"/>
        <w:jc w:val="center"/>
        <w:rPr>
          <w:rFonts w:hint="eastAsia" w:ascii="宋体" w:hAnsi="宋体" w:eastAsia="宋体" w:cs="宋体"/>
          <w:b/>
          <w:kern w:val="28"/>
          <w:sz w:val="27"/>
          <w:szCs w:val="27"/>
        </w:rPr>
      </w:pPr>
      <w:r>
        <w:rPr>
          <w:rFonts w:hint="eastAsia" w:ascii="宋体" w:hAnsi="宋体" w:eastAsia="宋体" w:cs="宋体"/>
          <w:b/>
          <w:kern w:val="28"/>
          <w:sz w:val="27"/>
          <w:szCs w:val="27"/>
          <w:lang w:val="en-US" w:eastAsia="zh-CN"/>
        </w:rPr>
        <w:t xml:space="preserve">第一部分 </w:t>
      </w:r>
      <w:r>
        <w:rPr>
          <w:rFonts w:hint="eastAsia" w:ascii="宋体" w:hAnsi="宋体" w:eastAsia="宋体" w:cs="宋体"/>
          <w:b/>
          <w:kern w:val="28"/>
          <w:sz w:val="27"/>
          <w:szCs w:val="27"/>
        </w:rPr>
        <w:t>中山市小榄人民医院</w:t>
      </w:r>
      <w:r>
        <w:rPr>
          <w:rFonts w:hint="eastAsia" w:ascii="宋体" w:hAnsi="宋体" w:eastAsia="宋体" w:cs="宋体"/>
          <w:b/>
          <w:kern w:val="28"/>
          <w:sz w:val="27"/>
          <w:szCs w:val="27"/>
          <w:lang w:val="en-US" w:eastAsia="zh-CN"/>
        </w:rPr>
        <w:t>院内谈判项目谈判邀请函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lang w:val="en-US" w:eastAsia="zh-CN"/>
        </w:rPr>
      </w:pPr>
      <w:r>
        <w:rPr>
          <w:rFonts w:hint="eastAsia" w:ascii="仿宋_GB2312" w:hAnsi="仿宋_GB2312" w:eastAsia="仿宋_GB2312" w:cs="仿宋_GB2312"/>
          <w:kern w:val="2"/>
          <w:sz w:val="28"/>
          <w:szCs w:val="28"/>
          <w:lang w:val="en-US" w:eastAsia="zh-CN" w:bidi="ar-SA"/>
        </w:rPr>
        <w:t>1.项目名称：中山市小榄人民医院全自动药品单剂量分包机维保项目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2.采购方式：院内谈判（合理最低价）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3.采购需求：</w:t>
      </w:r>
    </w:p>
    <w:tbl>
      <w:tblPr>
        <w:tblStyle w:val="51"/>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00"/>
        <w:gridCol w:w="3730"/>
        <w:gridCol w:w="1087"/>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9" w:hRule="atLeast"/>
          <w:jc w:val="center"/>
        </w:trPr>
        <w:tc>
          <w:tcPr>
            <w:tcW w:w="1200"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3730"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标的名称</w:t>
            </w:r>
          </w:p>
        </w:tc>
        <w:tc>
          <w:tcPr>
            <w:tcW w:w="1087"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服务年限</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简要技术或服务要求</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2" w:hRule="atLeast"/>
          <w:jc w:val="center"/>
        </w:trPr>
        <w:tc>
          <w:tcPr>
            <w:tcW w:w="1200"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730"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中山市小榄人民医院全自动药品单剂量分包机维保项目</w:t>
            </w:r>
          </w:p>
        </w:tc>
        <w:tc>
          <w:tcPr>
            <w:tcW w:w="1087"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3年</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详见用户需求</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150000元</w:t>
            </w:r>
            <w:bookmarkStart w:id="6" w:name="_GoBack"/>
            <w:bookmarkEnd w:id="6"/>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lang w:val="en-US" w:eastAsia="zh-CN"/>
        </w:rPr>
      </w:pPr>
      <w:r>
        <w:rPr>
          <w:rFonts w:hint="eastAsia" w:ascii="仿宋_GB2312" w:hAnsi="仿宋_GB2312" w:eastAsia="仿宋_GB2312" w:cs="仿宋_GB2312"/>
          <w:kern w:val="2"/>
          <w:sz w:val="28"/>
          <w:szCs w:val="28"/>
          <w:lang w:val="en-US" w:eastAsia="zh-CN" w:bidi="ar-SA"/>
        </w:rPr>
        <w:t>供应商的资格要求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1.响应供应商应具备《政府采购法》第二十二条规定的条件。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2.响应供应商须是在中华人民共和国境内注册的法人或其他组织，并独立于采购人和采购代理机构。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3.维护保养工作人员须持有原厂资质证书或相关技术的上岗证。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lang w:val="en-US" w:eastAsia="zh-CN"/>
        </w:rPr>
      </w:pPr>
      <w:r>
        <w:rPr>
          <w:rFonts w:hint="eastAsia" w:ascii="仿宋_GB2312" w:hAnsi="仿宋_GB2312" w:eastAsia="仿宋_GB2312" w:cs="仿宋_GB2312"/>
          <w:kern w:val="2"/>
          <w:sz w:val="28"/>
          <w:szCs w:val="28"/>
          <w:lang w:val="en-US" w:eastAsia="zh-CN" w:bidi="ar-SA"/>
        </w:rPr>
        <w:t>4.本项目不接受联合体形式报价。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递交响应文件截止时间、递交方式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w:t>
      </w:r>
      <w:r>
        <w:rPr>
          <w:rFonts w:hint="eastAsia" w:ascii="仿宋_GB2312" w:hAnsi="仿宋_GB2312" w:eastAsia="仿宋_GB2312" w:cs="仿宋_GB2312"/>
          <w:kern w:val="2"/>
          <w:sz w:val="28"/>
          <w:szCs w:val="28"/>
          <w:u w:val="single"/>
          <w:lang w:val="en-US" w:eastAsia="zh-CN" w:bidi="ar-SA"/>
        </w:rPr>
        <w:t>2022</w:t>
      </w:r>
      <w:r>
        <w:rPr>
          <w:rFonts w:hint="eastAsia" w:ascii="仿宋_GB2312" w:hAnsi="仿宋_GB2312" w:eastAsia="仿宋_GB2312" w:cs="仿宋_GB2312"/>
          <w:kern w:val="2"/>
          <w:sz w:val="28"/>
          <w:szCs w:val="28"/>
          <w:lang w:val="en-US" w:eastAsia="zh-CN" w:bidi="ar-SA"/>
        </w:rPr>
        <w:t>年</w:t>
      </w:r>
      <w:r>
        <w:rPr>
          <w:rFonts w:hint="eastAsia" w:ascii="仿宋_GB2312" w:hAnsi="仿宋_GB2312" w:eastAsia="仿宋_GB2312" w:cs="仿宋_GB2312"/>
          <w:kern w:val="2"/>
          <w:sz w:val="28"/>
          <w:szCs w:val="28"/>
          <w:u w:val="single"/>
          <w:lang w:val="en-US" w:eastAsia="zh-CN" w:bidi="ar-SA"/>
        </w:rPr>
        <w:t>11</w:t>
      </w:r>
      <w:r>
        <w:rPr>
          <w:rFonts w:hint="eastAsia" w:ascii="仿宋_GB2312" w:hAnsi="仿宋_GB2312" w:eastAsia="仿宋_GB2312" w:cs="仿宋_GB2312"/>
          <w:kern w:val="2"/>
          <w:sz w:val="28"/>
          <w:szCs w:val="28"/>
          <w:lang w:val="en-US" w:eastAsia="zh-CN" w:bidi="ar-SA"/>
        </w:rPr>
        <w:t xml:space="preserve"> 月</w:t>
      </w:r>
      <w:r>
        <w:rPr>
          <w:rFonts w:hint="eastAsia" w:ascii="仿宋_GB2312" w:hAnsi="仿宋_GB2312" w:eastAsia="仿宋_GB2312" w:cs="仿宋_GB2312"/>
          <w:kern w:val="2"/>
          <w:sz w:val="28"/>
          <w:szCs w:val="28"/>
          <w:u w:val="single"/>
          <w:lang w:val="en-US" w:eastAsia="zh-CN" w:bidi="ar-SA"/>
        </w:rPr>
        <w:t>10</w:t>
      </w:r>
      <w:r>
        <w:rPr>
          <w:rFonts w:hint="eastAsia" w:ascii="仿宋_GB2312" w:hAnsi="仿宋_GB2312" w:eastAsia="仿宋_GB2312" w:cs="仿宋_GB2312"/>
          <w:kern w:val="2"/>
          <w:sz w:val="28"/>
          <w:szCs w:val="28"/>
          <w:lang w:val="en-US" w:eastAsia="zh-CN" w:bidi="ar-SA"/>
        </w:rPr>
        <w:t>日17:00（北京时间）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响应文件递交方式（</w:t>
      </w:r>
      <w:r>
        <w:rPr>
          <w:rFonts w:hint="eastAsia" w:ascii="仿宋_GB2312" w:hAnsi="仿宋_GB2312" w:eastAsia="仿宋_GB2312" w:cs="仿宋_GB2312"/>
          <w:b/>
          <w:bCs/>
          <w:kern w:val="2"/>
          <w:sz w:val="28"/>
          <w:szCs w:val="28"/>
          <w:lang w:val="en-US" w:eastAsia="zh-CN" w:bidi="ar-SA"/>
        </w:rPr>
        <w:t>方式①和方式②缺一不可</w:t>
      </w:r>
      <w:r>
        <w:rPr>
          <w:rFonts w:hint="eastAsia" w:ascii="仿宋_GB2312" w:hAnsi="仿宋_GB2312" w:eastAsia="仿宋_GB2312" w:cs="仿宋_GB2312"/>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①电子邮件：yxzb8420@126.com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②文件邮寄：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收件人：孙小姐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收件电话：0760-88662120-8420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收件地址：中山市小榄镇菊城大道中65号（小榄人民医院采购部）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公告期限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自本公告发布之日起五个工作日。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请各供应商按照以下要求提供完整的响应文件（一式份），供采购人进行预审核：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1.报价文件（详见第四部分）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以上文件均需盖公章。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预审通过后，采购人以电子邮件方式通知供应商进入下一阶段流程。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其他补充事宜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如纸质资料与电子资料存在不一致，以纸质盖章资料为准。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本项目不接受联合体响应。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递交响应文件截止前，需提供完整的响应文件供采购人预审，资料不全或不通过者，报名无效。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监督部门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联系人：曾老师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联系电话：0760-88662120-1621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 址：中山市小榄镇菊城大道中65号内科大楼九楼纪委监察室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中山市小榄人民医院</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2022</w:t>
      </w:r>
      <w:r>
        <w:rPr>
          <w:rFonts w:hint="eastAsia" w:ascii="仿宋_GB2312" w:hAnsi="仿宋_GB2312" w:eastAsia="仿宋_GB2312" w:cs="仿宋_GB2312"/>
          <w:b w:val="0"/>
          <w:bCs/>
          <w:color w:val="000000" w:themeColor="text1"/>
          <w:sz w:val="28"/>
          <w:szCs w:val="28"/>
          <w14:textFill>
            <w14:solidFill>
              <w14:schemeClr w14:val="tx1"/>
            </w14:solidFill>
          </w14:textFill>
        </w:rPr>
        <w:t>年</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b w:val="0"/>
          <w:bCs/>
          <w:color w:val="000000" w:themeColor="text1"/>
          <w:sz w:val="28"/>
          <w:szCs w:val="28"/>
          <w14:textFill>
            <w14:solidFill>
              <w14:schemeClr w14:val="tx1"/>
            </w14:solidFill>
          </w14:textFill>
        </w:rPr>
        <w:t>月</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8"/>
          <w:szCs w:val="28"/>
          <w14:textFill>
            <w14:solidFill>
              <w14:schemeClr w14:val="tx1"/>
            </w14:solidFill>
          </w14:textFill>
        </w:rPr>
        <w:t>日</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pStyle w:val="47"/>
        <w:shd w:val="clear" w:color="auto" w:fill="FFFFFF"/>
        <w:snapToGrid w:val="0"/>
        <w:spacing w:beforeAutospacing="0" w:afterAutospacing="0" w:line="360" w:lineRule="auto"/>
        <w:jc w:val="left"/>
        <w:textAlignment w:val="baseline"/>
        <w:rPr>
          <w:rFonts w:cs="宋体"/>
          <w:color w:val="auto"/>
        </w:rPr>
      </w:pPr>
      <w:r>
        <w:rPr>
          <w:rFonts w:hint="eastAsia" w:ascii="仿宋_GB2312" w:hAnsi="仿宋_GB2312" w:eastAsia="仿宋_GB2312" w:cs="仿宋_GB2312"/>
          <w:kern w:val="2"/>
          <w:sz w:val="28"/>
          <w:szCs w:val="28"/>
          <w:lang w:val="en-US" w:eastAsia="zh-CN" w:bidi="ar-SA"/>
        </w:rPr>
        <w:t>附件：谈判文件</w:t>
      </w:r>
      <w:r>
        <w:rPr>
          <w:rFonts w:hint="eastAsia" w:cs="宋体"/>
          <w:color w:val="auto"/>
        </w:rPr>
        <w:br w:type="page"/>
      </w:r>
    </w:p>
    <w:p>
      <w:pPr>
        <w:spacing w:line="360" w:lineRule="auto"/>
        <w:jc w:val="center"/>
        <w:rPr>
          <w:rFonts w:ascii="宋体" w:hAnsi="宋体" w:cs="宋体"/>
          <w:sz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pStyle w:val="5"/>
        <w:jc w:val="center"/>
      </w:pPr>
      <w:bookmarkStart w:id="2" w:name="_Toc26272341"/>
      <w:bookmarkStart w:id="3" w:name="_Toc12623"/>
      <w:r>
        <w:rPr>
          <w:rFonts w:hint="eastAsia"/>
        </w:rPr>
        <w:t>第二部分　</w:t>
      </w:r>
      <w:bookmarkEnd w:id="2"/>
      <w:r>
        <w:rPr>
          <w:rFonts w:hint="eastAsia"/>
        </w:rPr>
        <w:t>采购需求书</w:t>
      </w:r>
      <w:bookmarkEnd w:id="3"/>
    </w:p>
    <w:p>
      <w:pPr>
        <w:pStyle w:val="26"/>
        <w:adjustRightInd w:val="0"/>
        <w:snapToGrid w:val="0"/>
        <w:spacing w:line="360" w:lineRule="auto"/>
        <w:jc w:val="center"/>
        <w:rPr>
          <w:rFonts w:hAnsi="宋体" w:cs="宋体"/>
          <w:b/>
          <w:sz w:val="24"/>
          <w:szCs w:val="24"/>
        </w:rPr>
      </w:pPr>
    </w:p>
    <w:p>
      <w:pPr>
        <w:rPr>
          <w:rFonts w:ascii="宋体" w:hAnsi="宋体" w:cs="宋体"/>
          <w:b/>
          <w:sz w:val="24"/>
          <w:lang w:val="zh-CN"/>
        </w:rPr>
      </w:pPr>
      <w:r>
        <w:rPr>
          <w:rFonts w:hint="eastAsia" w:ascii="宋体" w:hAnsi="宋体" w:cs="宋体"/>
          <w:b/>
          <w:sz w:val="24"/>
          <w:lang w:val="zh-CN"/>
        </w:rPr>
        <w:br w:type="page"/>
      </w:r>
    </w:p>
    <w:p>
      <w:pPr>
        <w:spacing w:line="5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采购需求书</w:t>
      </w:r>
    </w:p>
    <w:p>
      <w:pPr>
        <w:pStyle w:val="61"/>
        <w:ind w:firstLine="482"/>
        <w:rPr>
          <w:rFonts w:asciiTheme="minorEastAsia" w:hAnsiTheme="minorEastAsia"/>
          <w:b/>
          <w:sz w:val="24"/>
          <w:szCs w:val="24"/>
        </w:rPr>
      </w:pPr>
    </w:p>
    <w:p>
      <w:pPr>
        <w:tabs>
          <w:tab w:val="left" w:pos="584"/>
          <w:tab w:val="left" w:pos="616"/>
        </w:tabs>
        <w:spacing w:before="62" w:beforeLines="20" w:line="360" w:lineRule="exact"/>
        <w:rPr>
          <w:rFonts w:ascii="宋体" w:hAnsi="宋体"/>
          <w:b/>
        </w:rPr>
      </w:pPr>
      <w:r>
        <w:rPr>
          <w:rFonts w:hint="eastAsia" w:ascii="宋体" w:hAnsi="宋体"/>
          <w:b/>
        </w:rPr>
        <w:t>一、项目概况</w:t>
      </w:r>
    </w:p>
    <w:p>
      <w:pPr>
        <w:spacing w:line="360" w:lineRule="auto"/>
        <w:rPr>
          <w:rFonts w:ascii="宋体" w:hAnsi="宋体"/>
        </w:rPr>
      </w:pPr>
      <w:r>
        <w:rPr>
          <w:rFonts w:hint="eastAsia" w:ascii="宋体" w:hAnsi="宋体"/>
        </w:rPr>
        <w:t>1.项目名称：中山市小榄人民医院全自动药品单剂量分包机维保项目</w:t>
      </w:r>
    </w:p>
    <w:p>
      <w:pPr>
        <w:spacing w:line="360" w:lineRule="auto"/>
        <w:rPr>
          <w:rFonts w:hint="eastAsia" w:ascii="宋体" w:hAnsi="宋体"/>
        </w:rPr>
      </w:pPr>
      <w:r>
        <w:rPr>
          <w:rFonts w:hint="eastAsia" w:ascii="宋体" w:hAnsi="宋体"/>
        </w:rPr>
        <w:t>2.项目地点：中山市小榄人民医院内</w:t>
      </w:r>
    </w:p>
    <w:p>
      <w:pPr>
        <w:pStyle w:val="61"/>
        <w:ind w:firstLine="0" w:firstLineChars="0"/>
        <w:rPr>
          <w:rFonts w:ascii="宋体" w:hAnsi="宋体"/>
          <w:b/>
        </w:rPr>
      </w:pPr>
      <w:r>
        <w:rPr>
          <w:rFonts w:hint="eastAsia" w:ascii="宋体" w:hAnsi="宋体"/>
        </w:rPr>
        <w:t>二、</w:t>
      </w:r>
      <w:r>
        <w:rPr>
          <w:rFonts w:hint="eastAsia" w:ascii="宋体" w:hAnsi="宋体"/>
          <w:b/>
        </w:rPr>
        <w:t>响应供应商资质要求</w:t>
      </w:r>
    </w:p>
    <w:p>
      <w:pPr>
        <w:spacing w:before="62" w:beforeLines="20" w:line="480" w:lineRule="exact"/>
        <w:rPr>
          <w:rFonts w:ascii="宋体" w:hAnsi="宋体" w:cs="Times New Roman"/>
          <w:b/>
        </w:rPr>
      </w:pPr>
      <w:r>
        <w:rPr>
          <w:rFonts w:hint="eastAsia" w:ascii="宋体" w:hAnsi="宋体"/>
        </w:rPr>
        <w:t>1、</w:t>
      </w:r>
      <w:r>
        <w:rPr>
          <w:rFonts w:hint="eastAsia" w:ascii="宋体" w:hAnsi="宋体" w:cs="Times New Roman"/>
        </w:rPr>
        <w:t>★</w:t>
      </w:r>
      <w:r>
        <w:rPr>
          <w:rFonts w:hint="eastAsia" w:ascii="宋体" w:hAnsi="宋体"/>
          <w:b/>
        </w:rPr>
        <w:t>响应供应商</w:t>
      </w:r>
      <w:r>
        <w:rPr>
          <w:rFonts w:hint="eastAsia" w:ascii="宋体" w:hAnsi="宋体" w:cs="Times New Roman"/>
          <w:b/>
        </w:rPr>
        <w:t>应满足以下要求</w:t>
      </w:r>
    </w:p>
    <w:p>
      <w:pPr>
        <w:widowControl/>
        <w:tabs>
          <w:tab w:val="left" w:pos="851"/>
        </w:tabs>
        <w:spacing w:line="360" w:lineRule="auto"/>
        <w:jc w:val="left"/>
        <w:rPr>
          <w:rFonts w:hint="eastAsia" w:ascii="宋体" w:hAnsi="宋体"/>
          <w:color w:val="000000"/>
        </w:rPr>
      </w:pPr>
      <w:r>
        <w:rPr>
          <w:rFonts w:hint="eastAsia" w:ascii="宋体" w:hAnsi="宋体"/>
          <w:color w:val="000000"/>
        </w:rPr>
        <w:t>1.1</w:t>
      </w:r>
      <w:r>
        <w:rPr>
          <w:rFonts w:hint="eastAsia" w:ascii="宋体" w:hAnsi="宋体"/>
          <w:bCs/>
        </w:rPr>
        <w:t>响应供应商</w:t>
      </w:r>
      <w:r>
        <w:rPr>
          <w:rFonts w:hint="eastAsia" w:ascii="宋体" w:hAnsi="宋体"/>
          <w:color w:val="000000"/>
        </w:rPr>
        <w:t>应具备《政府采购法》第二十二条规定的条件。</w:t>
      </w:r>
    </w:p>
    <w:p>
      <w:pPr>
        <w:widowControl/>
        <w:tabs>
          <w:tab w:val="left" w:pos="851"/>
        </w:tabs>
        <w:spacing w:line="360" w:lineRule="auto"/>
        <w:jc w:val="left"/>
        <w:rPr>
          <w:rFonts w:hint="eastAsia" w:ascii="宋体" w:hAnsi="宋体"/>
          <w:color w:val="000000"/>
        </w:rPr>
      </w:pPr>
      <w:r>
        <w:rPr>
          <w:rFonts w:hint="eastAsia" w:ascii="宋体" w:hAnsi="宋体"/>
          <w:color w:val="000000"/>
        </w:rPr>
        <w:t>1.2</w:t>
      </w:r>
      <w:r>
        <w:rPr>
          <w:rFonts w:hint="eastAsia" w:ascii="宋体" w:hAnsi="宋体"/>
          <w:bCs/>
        </w:rPr>
        <w:t>响应供应商</w:t>
      </w:r>
      <w:r>
        <w:rPr>
          <w:rFonts w:hint="eastAsia" w:ascii="宋体" w:hAnsi="宋体"/>
          <w:color w:val="000000"/>
        </w:rPr>
        <w:t>须是在中华人民共和国境内注册的法人或其他组织，并独立于采购人和采购代理机构。</w:t>
      </w:r>
    </w:p>
    <w:p>
      <w:pPr>
        <w:widowControl/>
        <w:tabs>
          <w:tab w:val="left" w:pos="851"/>
        </w:tabs>
        <w:spacing w:line="360" w:lineRule="auto"/>
        <w:jc w:val="left"/>
        <w:rPr>
          <w:rFonts w:hint="eastAsia" w:ascii="宋体" w:hAnsi="宋体"/>
          <w:color w:val="000000"/>
        </w:rPr>
      </w:pPr>
      <w:r>
        <w:rPr>
          <w:rFonts w:hint="eastAsia" w:ascii="宋体" w:hAnsi="宋体" w:cs="Times New Roman"/>
        </w:rPr>
        <w:t>1.3维护保养工作人员须持有</w:t>
      </w:r>
      <w:r>
        <w:rPr>
          <w:rFonts w:hint="eastAsia" w:ascii="宋体" w:hAnsi="宋体" w:cs="Times New Roman"/>
          <w:highlight w:val="none"/>
        </w:rPr>
        <w:t>原厂</w:t>
      </w:r>
      <w:r>
        <w:rPr>
          <w:rFonts w:hint="eastAsia" w:ascii="宋体" w:hAnsi="宋体" w:cs="Times New Roman"/>
        </w:rPr>
        <w:t>资质证书或相关技术的上岗证。</w:t>
      </w:r>
    </w:p>
    <w:p>
      <w:pPr>
        <w:widowControl/>
        <w:tabs>
          <w:tab w:val="left" w:pos="851"/>
        </w:tabs>
        <w:spacing w:line="360" w:lineRule="auto"/>
        <w:jc w:val="left"/>
        <w:rPr>
          <w:color w:val="000000"/>
        </w:rPr>
      </w:pPr>
      <w:r>
        <w:rPr>
          <w:rFonts w:hint="eastAsia" w:ascii="宋体" w:hAnsi="宋体"/>
          <w:color w:val="000000"/>
        </w:rPr>
        <w:t>1.4本项目不接受联合体形式报价。</w:t>
      </w:r>
    </w:p>
    <w:p>
      <w:pPr>
        <w:pStyle w:val="61"/>
        <w:spacing w:line="400" w:lineRule="exact"/>
        <w:ind w:firstLine="0" w:firstLineChars="0"/>
        <w:rPr>
          <w:rFonts w:ascii="宋体" w:hAnsi="宋体"/>
          <w:b/>
        </w:rPr>
      </w:pPr>
      <w:r>
        <w:rPr>
          <w:rFonts w:hint="eastAsia" w:ascii="宋体" w:hAnsi="宋体"/>
          <w:b/>
        </w:rPr>
        <w:t>三、项目预算：</w:t>
      </w:r>
      <w:r>
        <w:rPr>
          <w:rFonts w:hint="eastAsia" w:ascii="宋体" w:hAnsi="宋体"/>
        </w:rPr>
        <w:t>15万</w:t>
      </w:r>
    </w:p>
    <w:p>
      <w:pPr>
        <w:pStyle w:val="61"/>
        <w:spacing w:line="400" w:lineRule="exact"/>
        <w:ind w:firstLine="0" w:firstLineChars="0"/>
        <w:rPr>
          <w:rFonts w:ascii="宋体" w:hAnsi="宋体" w:cs="Times New Roman"/>
          <w:b/>
        </w:rPr>
      </w:pPr>
      <w:r>
        <w:rPr>
          <w:rFonts w:hint="eastAsia" w:ascii="宋体" w:hAnsi="宋体" w:cs="Times New Roman"/>
          <w:b/>
        </w:rPr>
        <w:t>四、服务期限：</w:t>
      </w:r>
      <w:r>
        <w:rPr>
          <w:rFonts w:hint="eastAsia" w:ascii="宋体" w:hAnsi="宋体" w:cs="Times New Roman"/>
        </w:rPr>
        <w:t>三年</w:t>
      </w:r>
    </w:p>
    <w:p>
      <w:pPr>
        <w:spacing w:line="360" w:lineRule="auto"/>
        <w:rPr>
          <w:rFonts w:hint="eastAsia" w:ascii="宋体" w:hAnsi="宋体"/>
          <w:b/>
        </w:rPr>
      </w:pPr>
      <w:r>
        <w:rPr>
          <w:rFonts w:hint="eastAsia" w:ascii="宋体" w:hAnsi="宋体"/>
          <w:b/>
        </w:rPr>
        <w:t>五、项目服务范围及要求：</w:t>
      </w:r>
    </w:p>
    <w:p>
      <w:pPr>
        <w:spacing w:line="360" w:lineRule="auto"/>
        <w:rPr>
          <w:rFonts w:ascii="宋体" w:hAnsi="宋体"/>
          <w:b/>
        </w:rPr>
      </w:pPr>
      <w:r>
        <w:rPr>
          <w:rFonts w:hint="eastAsia" w:ascii="宋体" w:hAnsi="宋体"/>
          <w:b/>
        </w:rPr>
        <w:t>★1、本项目服务范围：</w:t>
      </w:r>
    </w:p>
    <w:p>
      <w:pPr>
        <w:spacing w:line="360" w:lineRule="auto"/>
        <w:rPr>
          <w:rFonts w:hint="eastAsia" w:ascii="宋体" w:hAnsi="宋体"/>
          <w:highlight w:val="none"/>
        </w:rPr>
      </w:pPr>
      <w:r>
        <w:rPr>
          <w:rFonts w:hint="eastAsia" w:ascii="宋体" w:hAnsi="宋体"/>
          <w:highlight w:val="none"/>
        </w:rPr>
        <w:t>全自动药品单剂量分包机整机维修保养。</w:t>
      </w:r>
    </w:p>
    <w:p>
      <w:pPr>
        <w:spacing w:line="360" w:lineRule="auto"/>
        <w:rPr>
          <w:rFonts w:hint="eastAsia" w:ascii="宋体" w:hAnsi="宋体"/>
          <w:b/>
        </w:rPr>
      </w:pPr>
      <w:r>
        <w:rPr>
          <w:rFonts w:hint="eastAsia" w:ascii="宋体" w:hAnsi="宋体"/>
          <w:b/>
        </w:rPr>
        <w:t>2、本项目服务内容：</w:t>
      </w:r>
    </w:p>
    <w:p>
      <w:pPr>
        <w:spacing w:line="360" w:lineRule="auto"/>
        <w:rPr>
          <w:rFonts w:hint="eastAsia" w:ascii="宋体" w:hAnsi="宋体"/>
        </w:rPr>
      </w:pPr>
      <w:r>
        <w:rPr>
          <w:rFonts w:hint="eastAsia" w:ascii="宋体" w:hAnsi="宋体"/>
        </w:rPr>
        <w:t>2.1本项目所涉及需要更换的材料及配件均由成交供应商负责。</w:t>
      </w:r>
    </w:p>
    <w:p>
      <w:pPr>
        <w:spacing w:line="360" w:lineRule="auto"/>
        <w:rPr>
          <w:rFonts w:hint="eastAsia" w:ascii="宋体" w:hAnsi="宋体"/>
          <w:highlight w:val="none"/>
        </w:rPr>
      </w:pPr>
      <w:r>
        <w:rPr>
          <w:rFonts w:hint="eastAsia" w:ascii="宋体" w:hAnsi="宋体"/>
          <w:highlight w:val="none"/>
        </w:rPr>
        <w:t>★2.2本项目全自动药品单剂量分包机服务内容如下（但不限于以下内容）：</w:t>
      </w:r>
    </w:p>
    <w:p>
      <w:pPr>
        <w:rPr>
          <w:vanish/>
        </w:rPr>
      </w:pPr>
    </w:p>
    <w:tbl>
      <w:tblPr>
        <w:tblStyle w:val="51"/>
        <w:tblpPr w:leftFromText="180" w:rightFromText="180" w:vertAnchor="text" w:horzAnchor="page" w:tblpX="2207" w:tblpY="282"/>
        <w:tblOverlap w:val="never"/>
        <w:tblW w:w="7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9" w:type="dxa"/>
            <w:vMerge w:val="restart"/>
            <w:tcBorders>
              <w:top w:val="single" w:color="auto" w:sz="4" w:space="0"/>
            </w:tcBorders>
            <w:shd w:val="clear" w:color="000000" w:fill="FFFFFF"/>
            <w:noWrap/>
            <w:textDirection w:val="tbRlV"/>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6448" w:type="dxa"/>
            <w:vMerge w:val="restart"/>
            <w:tcBorders>
              <w:top w:val="single" w:color="auto" w:sz="4" w:space="0"/>
            </w:tcBorders>
            <w:shd w:val="clear" w:color="000000" w:fill="FFFFFF"/>
            <w:noWrap/>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c>
          <w:tcPr>
            <w:tcW w:w="6448"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维护保养服务项目: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6448" w:type="dxa"/>
            <w:tcBorders>
              <w:bottom w:val="single" w:color="auto" w:sz="4" w:space="0"/>
            </w:tcBorders>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6448" w:type="dxa"/>
            <w:tcBorders>
              <w:bottom w:val="single" w:color="auto" w:sz="4" w:space="0"/>
            </w:tcBorders>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 w:type="dxa"/>
            <w:vMerge w:val="restart"/>
            <w:tcBorders>
              <w:top w:val="single" w:color="auto" w:sz="4" w:space="0"/>
            </w:tcBorders>
            <w:noWrap w:val="0"/>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6448" w:type="dxa"/>
            <w:vMerge w:val="restart"/>
            <w:tcBorders>
              <w:top w:val="single" w:color="auto" w:sz="4" w:space="0"/>
            </w:tcBorders>
            <w:noWrap/>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c>
          <w:tcPr>
            <w:tcW w:w="6448"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维修操作服务项目: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移机服务（摆药机+电脑）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电脑软件重新安装部署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增加药盒 绑定药盒 调整药盒位置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修改药盒以适应药品变化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订做药盒（整片、半片药盒）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远程监控操作服务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杀毒、防毒服务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药袋打印不清晰调整服务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更换不工作药盒底座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药袋纸封口调整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药袋成型调整设定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控制电路板更换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包装单元机械零件更换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打印机单元零件更换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药袋传输装置单元零件更换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主机柜与扩展机柜药品通道连接件更换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机柜通风网更换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漏斗更换 塑料 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传感器校验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药品掉落错误维修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SDM掉落错误检查维修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药品多掉少掉监测维修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异常错误监测维修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培训、咨询服务项目: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摆药机软件操作培训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摆药机耗材更换培训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摆药机卷纸应对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摆药机打印格式调整应对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中间表字段填写相关意义解释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配合医院调整中间表和摆药机数据库工作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配合医院调整涉及摆药机的工作</w:t>
            </w:r>
          </w:p>
        </w:tc>
      </w:tr>
    </w:tbl>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r>
        <w:rPr>
          <w:rFonts w:hint="eastAsia" w:ascii="宋体" w:hAnsi="宋体"/>
          <w:b/>
        </w:rPr>
        <w:t>3.项目服务要求：</w:t>
      </w:r>
    </w:p>
    <w:p>
      <w:pPr>
        <w:spacing w:line="360" w:lineRule="auto"/>
        <w:ind w:firstLine="420" w:firstLineChars="200"/>
        <w:jc w:val="left"/>
        <w:rPr>
          <w:rFonts w:ascii="宋体" w:hAnsi="宋体"/>
          <w:color w:val="000000"/>
        </w:rPr>
      </w:pPr>
      <w:r>
        <w:rPr>
          <w:rFonts w:hint="eastAsia" w:ascii="宋体" w:hAnsi="宋体"/>
          <w:color w:val="000000"/>
        </w:rPr>
        <w:t>1.投标人具备原生产厂家关于本项目售后服务的授权或技术合作协议。</w:t>
      </w:r>
    </w:p>
    <w:p>
      <w:pPr>
        <w:spacing w:line="360" w:lineRule="auto"/>
        <w:ind w:firstLine="420" w:firstLineChars="200"/>
        <w:jc w:val="left"/>
        <w:rPr>
          <w:rFonts w:ascii="宋体" w:hAnsi="宋体"/>
        </w:rPr>
      </w:pPr>
      <w:r>
        <w:rPr>
          <w:rFonts w:hint="eastAsia" w:ascii="宋体" w:hAnsi="宋体"/>
        </w:rPr>
        <w:t>2.维保期内故障报修电话响应时间≤30分钟，工程师到场维修时限≤6小时。</w:t>
      </w:r>
    </w:p>
    <w:p>
      <w:pPr>
        <w:spacing w:line="360" w:lineRule="auto"/>
        <w:ind w:firstLine="420" w:firstLineChars="200"/>
        <w:jc w:val="left"/>
        <w:rPr>
          <w:rFonts w:ascii="宋体" w:hAnsi="宋体"/>
        </w:rPr>
      </w:pPr>
      <w:r>
        <w:rPr>
          <w:rFonts w:hint="eastAsia" w:ascii="宋体" w:hAnsi="宋体"/>
        </w:rPr>
        <w:t>3.全国范围内开通热线电话，24 小时×365 天有工程师接听，可为用户快速诊断和技术支持服务。</w:t>
      </w:r>
    </w:p>
    <w:p>
      <w:pPr>
        <w:spacing w:line="360" w:lineRule="auto"/>
        <w:ind w:firstLine="420" w:firstLineChars="200"/>
        <w:jc w:val="left"/>
        <w:rPr>
          <w:rFonts w:ascii="宋体" w:hAnsi="宋体"/>
          <w:bCs/>
          <w:color w:val="000000"/>
        </w:rPr>
      </w:pPr>
      <w:r>
        <w:rPr>
          <w:rFonts w:hint="eastAsia" w:ascii="宋体" w:hAnsi="宋体"/>
        </w:rPr>
        <w:t>4.现场或紧急维修：不限次数现场或紧急维修。</w:t>
      </w:r>
    </w:p>
    <w:p>
      <w:pPr>
        <w:spacing w:line="360" w:lineRule="auto"/>
        <w:ind w:firstLine="420" w:firstLineChars="200"/>
        <w:jc w:val="left"/>
        <w:rPr>
          <w:rFonts w:ascii="宋体" w:hAnsi="宋体"/>
        </w:rPr>
      </w:pPr>
      <w:r>
        <w:rPr>
          <w:rFonts w:hint="eastAsia" w:ascii="宋体" w:hAnsi="宋体"/>
        </w:rPr>
        <w:t>5.</w:t>
      </w:r>
      <w:r>
        <w:rPr>
          <w:rFonts w:hint="eastAsia" w:ascii="宋体" w:hAnsi="宋体"/>
          <w:lang w:val="en-US" w:eastAsia="zh-CN"/>
        </w:rPr>
        <w:t>成交供应商</w:t>
      </w:r>
      <w:r>
        <w:rPr>
          <w:rFonts w:hint="eastAsia" w:ascii="宋体" w:hAnsi="宋体"/>
        </w:rPr>
        <w:t>在维保服务期内无偿提供设备的软硬件安全升级（非功能性软件），以提高设备的安全性和性能，并提供所有升级资料和记录。</w:t>
      </w:r>
    </w:p>
    <w:p>
      <w:pPr>
        <w:spacing w:line="360" w:lineRule="auto"/>
        <w:ind w:firstLine="420" w:firstLineChars="200"/>
        <w:jc w:val="left"/>
        <w:rPr>
          <w:rFonts w:ascii="宋体" w:hAnsi="宋体"/>
        </w:rPr>
      </w:pPr>
      <w:r>
        <w:rPr>
          <w:rFonts w:hint="eastAsia" w:ascii="宋体" w:hAnsi="宋体"/>
        </w:rPr>
        <w:t>6.</w:t>
      </w:r>
      <w:r>
        <w:rPr>
          <w:rFonts w:hint="eastAsia" w:ascii="宋体" w:hAnsi="宋体"/>
          <w:lang w:eastAsia="zh-CN"/>
        </w:rPr>
        <w:t>成交供应商</w:t>
      </w:r>
      <w:r>
        <w:rPr>
          <w:rFonts w:hint="eastAsia" w:ascii="宋体" w:hAnsi="宋体"/>
        </w:rPr>
        <w:t>每年提供年度的维修、维护服务记录，包括维修次数，维修内容，备件数量，保养次数，维修、保养报告等。</w:t>
      </w:r>
    </w:p>
    <w:p>
      <w:pPr>
        <w:spacing w:line="360" w:lineRule="auto"/>
        <w:ind w:firstLine="420" w:firstLineChars="200"/>
        <w:jc w:val="left"/>
        <w:rPr>
          <w:rFonts w:ascii="宋体" w:hAnsi="宋体"/>
        </w:rPr>
      </w:pPr>
      <w:r>
        <w:rPr>
          <w:rFonts w:hint="eastAsia" w:ascii="宋体" w:hAnsi="宋体"/>
        </w:rPr>
        <w:t>7.维保培训要求：须派遣有经验的工程师提供培训服务，如设备规范化使用、操作、日常维护保养和管理等。</w:t>
      </w:r>
    </w:p>
    <w:p>
      <w:pPr>
        <w:spacing w:line="360" w:lineRule="auto"/>
        <w:rPr>
          <w:rFonts w:ascii="宋体"/>
          <w:b/>
          <w:bCs/>
        </w:rPr>
      </w:pPr>
      <w:r>
        <w:rPr>
          <w:rFonts w:hint="eastAsia" w:ascii="宋体" w:hAnsi="宋体"/>
          <w:b/>
          <w:bCs/>
        </w:rPr>
        <w:t>六、维护保养范围及技术要求（但不限于以下内容）：</w:t>
      </w:r>
    </w:p>
    <w:p>
      <w:pPr>
        <w:tabs>
          <w:tab w:val="left" w:pos="0"/>
          <w:tab w:val="left" w:pos="705"/>
        </w:tabs>
        <w:spacing w:line="360" w:lineRule="auto"/>
        <w:ind w:left="-122" w:leftChars="-58" w:right="-359" w:rightChars="-171"/>
        <w:outlineLvl w:val="0"/>
        <w:rPr>
          <w:rFonts w:ascii="宋体"/>
          <w:b/>
          <w:bCs/>
        </w:rPr>
      </w:pPr>
      <w:r>
        <w:rPr>
          <w:rFonts w:hint="eastAsia" w:ascii="宋体" w:hAnsi="宋体"/>
          <w:b/>
          <w:bCs/>
        </w:rPr>
        <w:t>（一）全自动药品单剂量分包机维修保养要求</w:t>
      </w:r>
    </w:p>
    <w:p>
      <w:pPr>
        <w:spacing w:line="360" w:lineRule="auto"/>
        <w:rPr>
          <w:rFonts w:ascii="宋体"/>
          <w:b/>
        </w:rPr>
      </w:pPr>
      <w:r>
        <w:rPr>
          <w:rFonts w:ascii="宋体" w:hAnsi="宋体"/>
          <w:b/>
        </w:rPr>
        <w:t>1</w:t>
      </w:r>
      <w:r>
        <w:rPr>
          <w:rFonts w:hint="eastAsia" w:ascii="宋体" w:hAnsi="宋体"/>
          <w:b/>
        </w:rPr>
        <w:t>.正常运转中的维护（每月一次）</w:t>
      </w:r>
    </w:p>
    <w:p>
      <w:pPr>
        <w:rPr>
          <w:vanish/>
        </w:rPr>
      </w:pPr>
    </w:p>
    <w:tbl>
      <w:tblPr>
        <w:tblStyle w:val="51"/>
        <w:tblpPr w:leftFromText="180" w:rightFromText="180" w:vertAnchor="text" w:horzAnchor="page" w:tblpX="2207" w:tblpY="282"/>
        <w:tblOverlap w:val="never"/>
        <w:tblW w:w="7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tcBorders>
              <w:bottom w:val="single" w:color="auto" w:sz="4" w:space="0"/>
            </w:tcBorders>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6448" w:type="dxa"/>
            <w:tcBorders>
              <w:bottom w:val="single" w:color="auto" w:sz="4" w:space="0"/>
            </w:tcBorders>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6448" w:type="dxa"/>
            <w:tcBorders>
              <w:bottom w:val="single" w:color="auto" w:sz="4" w:space="0"/>
            </w:tcBorders>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bl>
    <w:p>
      <w:pPr>
        <w:pStyle w:val="3"/>
        <w:tabs>
          <w:tab w:val="left" w:pos="6300"/>
          <w:tab w:val="left" w:pos="6839"/>
        </w:tabs>
        <w:spacing w:line="360" w:lineRule="auto"/>
        <w:rPr>
          <w:rFonts w:cs="宋体"/>
          <w:szCs w:val="21"/>
          <w:highlight w:val="none"/>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ascii="宋体"/>
          <w:b/>
          <w:highlight w:val="none"/>
        </w:rPr>
      </w:pPr>
      <w:r>
        <w:rPr>
          <w:rFonts w:hint="eastAsia" w:ascii="宋体" w:hAnsi="宋体"/>
          <w:b/>
          <w:bCs/>
        </w:rPr>
        <w:t>七、维护保养工作时间安排（但不限于以下内容）：</w:t>
      </w:r>
    </w:p>
    <w:p>
      <w:pPr>
        <w:spacing w:line="360" w:lineRule="auto"/>
        <w:rPr>
          <w:rFonts w:ascii="宋体"/>
          <w:highlight w:val="none"/>
        </w:rPr>
      </w:pPr>
      <w:r>
        <w:rPr>
          <w:rFonts w:hint="eastAsia" w:ascii="宋体" w:hAnsi="宋体"/>
          <w:highlight w:val="none"/>
        </w:rPr>
        <w:t>1.1成交供应商委派维修经验丰富的工作人员负责维修保养各系统的运行巡检、突发故障的处理等，保证各系统正常工作。</w:t>
      </w:r>
    </w:p>
    <w:p>
      <w:pPr>
        <w:spacing w:line="360" w:lineRule="auto"/>
        <w:rPr>
          <w:rFonts w:ascii="宋体"/>
          <w:highlight w:val="none"/>
        </w:rPr>
      </w:pPr>
      <w:r>
        <w:rPr>
          <w:rFonts w:hint="eastAsia" w:ascii="宋体" w:hAnsi="宋体"/>
          <w:highlight w:val="none"/>
        </w:rPr>
        <w:t>1.2工作人员每日到使用科室巡视各系统运行情况并作好记录，保证温湿度在正常控制范围内，发现及时处理。</w:t>
      </w:r>
    </w:p>
    <w:p>
      <w:pPr>
        <w:spacing w:line="360" w:lineRule="auto"/>
        <w:rPr>
          <w:rFonts w:ascii="宋体"/>
          <w:highlight w:val="none"/>
        </w:rPr>
      </w:pPr>
      <w:r>
        <w:rPr>
          <w:rFonts w:hint="eastAsia" w:ascii="宋体" w:hAnsi="宋体"/>
          <w:highlight w:val="none"/>
        </w:rPr>
        <w:t>1.3接到故障报修电话，及时予以解决处理，若无法处理应及时增派技术人员前来快速解决；半年或年度大型维护保养时成交供应商应集中派技术人员进行处理。</w:t>
      </w:r>
    </w:p>
    <w:p>
      <w:pPr>
        <w:spacing w:line="360" w:lineRule="auto"/>
        <w:rPr>
          <w:rFonts w:hint="eastAsia" w:ascii="宋体" w:hAnsi="宋体"/>
          <w:b/>
          <w:bCs/>
        </w:rPr>
      </w:pPr>
      <w:r>
        <w:rPr>
          <w:rFonts w:hint="eastAsia" w:ascii="宋体" w:hAnsi="宋体"/>
          <w:b/>
          <w:bCs/>
        </w:rPr>
        <w:t>八、验收标准及付款方法</w:t>
      </w:r>
    </w:p>
    <w:p>
      <w:pPr>
        <w:spacing w:line="360" w:lineRule="auto"/>
        <w:rPr>
          <w:rFonts w:hint="eastAsia" w:ascii="宋体" w:hAnsi="宋体"/>
          <w:b/>
        </w:rPr>
      </w:pPr>
      <w:r>
        <w:rPr>
          <w:rFonts w:hint="eastAsia" w:ascii="宋体" w:hAnsi="宋体"/>
          <w:b/>
        </w:rPr>
        <w:t>1、验收标准</w:t>
      </w:r>
    </w:p>
    <w:p>
      <w:pPr>
        <w:spacing w:line="360" w:lineRule="auto"/>
        <w:rPr>
          <w:rFonts w:hint="eastAsia" w:ascii="宋体" w:hAnsi="宋体"/>
        </w:rPr>
      </w:pPr>
      <w:r>
        <w:rPr>
          <w:rFonts w:hint="eastAsia" w:ascii="宋体" w:hAnsi="宋体"/>
        </w:rPr>
        <w:t>1.1成交供应商每个季度向采购人提交维保总结报告书和验收申请，由采购人确认，并作为付款依据。</w:t>
      </w:r>
    </w:p>
    <w:p>
      <w:pPr>
        <w:spacing w:line="360" w:lineRule="auto"/>
        <w:rPr>
          <w:rFonts w:ascii="宋体" w:hAnsi="宋体"/>
        </w:rPr>
      </w:pPr>
      <w:r>
        <w:rPr>
          <w:rFonts w:hint="eastAsia" w:ascii="宋体" w:hAnsi="宋体"/>
        </w:rPr>
        <w:t>1.2在合同开始执行时和本合同期满后，由成交供应商</w:t>
      </w:r>
      <w:r>
        <w:rPr>
          <w:rFonts w:hint="eastAsia" w:ascii="宋体" w:hAnsi="宋体"/>
          <w:lang w:val="en-US" w:eastAsia="zh-CN"/>
        </w:rPr>
        <w:t>和</w:t>
      </w:r>
      <w:r>
        <w:rPr>
          <w:rFonts w:hint="eastAsia" w:ascii="宋体" w:hAnsi="宋体"/>
        </w:rPr>
        <w:t>采购人共同对采购人的所有全自动药品单剂量分包机进行验收。成交供应商在移交前必须确保报价文件及合同维保范围内的设备处于正常运行状态，成交供应商应检修完成后再交付，否则采购人有权请第三方维修，所产生的费用由成交供应商承担。</w:t>
      </w:r>
    </w:p>
    <w:p>
      <w:pPr>
        <w:spacing w:line="360" w:lineRule="auto"/>
        <w:rPr>
          <w:rFonts w:ascii="宋体" w:hAnsi="宋体"/>
          <w:b/>
        </w:rPr>
      </w:pPr>
      <w:r>
        <w:rPr>
          <w:rFonts w:hint="eastAsia" w:ascii="宋体" w:hAnsi="宋体"/>
          <w:b/>
        </w:rPr>
        <w:t>2、付款办法</w:t>
      </w:r>
    </w:p>
    <w:p>
      <w:pPr>
        <w:spacing w:line="360" w:lineRule="auto"/>
        <w:rPr>
          <w:rFonts w:ascii="宋体" w:hAnsi="宋体"/>
        </w:rPr>
      </w:pPr>
      <w:r>
        <w:rPr>
          <w:rFonts w:hint="eastAsia" w:ascii="宋体" w:hAnsi="宋体"/>
        </w:rPr>
        <w:t>1．按季度支付服务款项，每年分四次支付 。</w:t>
      </w:r>
    </w:p>
    <w:p>
      <w:pPr>
        <w:spacing w:line="360" w:lineRule="auto"/>
        <w:rPr>
          <w:rFonts w:hint="eastAsia" w:ascii="宋体" w:hAnsi="宋体"/>
        </w:rPr>
      </w:pPr>
      <w:r>
        <w:rPr>
          <w:rFonts w:hint="eastAsia" w:ascii="宋体" w:hAnsi="宋体"/>
        </w:rPr>
        <w:t>2．在按约定付款前，成交供应商应开具符合国家税务规定的相应金额的服务发票给采购方，否则采购方有权拒绝付款，该项拒绝不视为违约，因开具发票所产生的税费由</w:t>
      </w:r>
      <w:r>
        <w:rPr>
          <w:rFonts w:hint="eastAsia" w:ascii="宋体" w:hAnsi="宋体"/>
          <w:lang w:val="en-US" w:eastAsia="zh-CN"/>
        </w:rPr>
        <w:t>成交供应商</w:t>
      </w:r>
      <w:r>
        <w:rPr>
          <w:rFonts w:hint="eastAsia" w:ascii="宋体" w:hAnsi="宋体"/>
        </w:rPr>
        <w:t>承担。</w:t>
      </w:r>
    </w:p>
    <w:p>
      <w:pPr>
        <w:spacing w:line="360" w:lineRule="auto"/>
        <w:rPr>
          <w:rFonts w:hint="eastAsia" w:ascii="宋体"/>
          <w:b/>
          <w:bCs/>
        </w:rPr>
      </w:pPr>
      <w:r>
        <w:rPr>
          <w:rFonts w:hint="eastAsia" w:ascii="宋体" w:hAnsi="宋体"/>
          <w:b/>
          <w:bCs/>
        </w:rPr>
        <w:t>九、其他要求：</w:t>
      </w:r>
    </w:p>
    <w:p>
      <w:pPr>
        <w:spacing w:line="360" w:lineRule="auto"/>
        <w:rPr>
          <w:rFonts w:ascii="宋体" w:hAnsi="宋体"/>
        </w:rPr>
      </w:pPr>
      <w:r>
        <w:rPr>
          <w:rFonts w:hint="eastAsia" w:ascii="宋体" w:hAnsi="宋体"/>
        </w:rPr>
        <w:t>1.成交供应商在维保期内应保证其维保范围内的设备安全可靠、无故障运行。</w:t>
      </w:r>
    </w:p>
    <w:p>
      <w:pPr>
        <w:spacing w:line="360" w:lineRule="auto"/>
        <w:rPr>
          <w:rFonts w:ascii="宋体" w:hAnsi="宋体"/>
        </w:rPr>
      </w:pPr>
      <w:r>
        <w:rPr>
          <w:rFonts w:hint="eastAsia" w:ascii="宋体" w:hAnsi="宋体"/>
        </w:rPr>
        <w:t>2.成交供应商对维保范围内的主要设备每天进行巡查，并填写巡查记录表，发现问题及时处理。</w:t>
      </w:r>
    </w:p>
    <w:p>
      <w:pPr>
        <w:spacing w:line="360" w:lineRule="auto"/>
        <w:rPr>
          <w:rFonts w:ascii="宋体" w:hAnsi="宋体"/>
        </w:rPr>
      </w:pPr>
      <w:r>
        <w:rPr>
          <w:rFonts w:hint="eastAsia" w:ascii="宋体" w:hAnsi="宋体"/>
        </w:rPr>
        <w:t>3.成交供应商应设有</w:t>
      </w:r>
      <w:r>
        <w:rPr>
          <w:rFonts w:ascii="宋体" w:hAnsi="宋体"/>
        </w:rPr>
        <w:t>24</w:t>
      </w:r>
      <w:r>
        <w:rPr>
          <w:rFonts w:hint="eastAsia" w:ascii="宋体" w:hAnsi="宋体"/>
        </w:rPr>
        <w:t>小时电话服务，维保范围内的设备出现故障时，成交供应商在接到通知后</w:t>
      </w:r>
      <w:r>
        <w:rPr>
          <w:rFonts w:ascii="宋体" w:hAnsi="宋体"/>
        </w:rPr>
        <w:t>1</w:t>
      </w:r>
      <w:r>
        <w:rPr>
          <w:rFonts w:hint="eastAsia" w:ascii="宋体" w:hAnsi="宋体"/>
        </w:rPr>
        <w:t>小时内到现场进行处理；如系统发生重大故障不能正常运行的，成交供应商应在接到通知后</w:t>
      </w:r>
      <w:r>
        <w:rPr>
          <w:rFonts w:ascii="宋体" w:hAnsi="宋体"/>
        </w:rPr>
        <w:t>3</w:t>
      </w:r>
      <w:r>
        <w:rPr>
          <w:rFonts w:hint="eastAsia" w:ascii="宋体" w:hAnsi="宋体"/>
        </w:rPr>
        <w:t>小时内到达现场查修；若因故不能即时修复而影响系统正常运作，应及时通知采购人，同时，成交供应商应做好相应的临时补救措施，并有书面记录存查。</w:t>
      </w:r>
    </w:p>
    <w:p>
      <w:pPr>
        <w:spacing w:line="360" w:lineRule="auto"/>
        <w:rPr>
          <w:rFonts w:ascii="宋体" w:hAnsi="宋体"/>
        </w:rPr>
      </w:pPr>
      <w:r>
        <w:rPr>
          <w:rFonts w:hint="eastAsia" w:ascii="宋体" w:hAnsi="宋体"/>
        </w:rPr>
        <w:t>4.维保人员工作时应文明礼貌，遵守采购人有关管理制度，如因成交供应商责任造成的停工、返工、材料、器材损失等均由成交供应商承担。</w:t>
      </w:r>
    </w:p>
    <w:p>
      <w:pPr>
        <w:spacing w:line="360" w:lineRule="auto"/>
        <w:rPr>
          <w:rFonts w:ascii="宋体" w:hAnsi="宋体"/>
        </w:rPr>
      </w:pPr>
      <w:r>
        <w:rPr>
          <w:rFonts w:hint="eastAsia" w:ascii="宋体" w:hAnsi="宋体"/>
        </w:rPr>
        <w:t>5. 在不影响采购人正常工作的情况下进行维修保养工作（如利用用餐时间或晚上休息时间等），应做到文明施工，做好安全防护措施，确保人身安全，如在维保过程中发生事故、工作人员及其他人员受到伤害的由成交供应商负责，采购人不负任何责任。</w:t>
      </w:r>
    </w:p>
    <w:p>
      <w:pPr>
        <w:spacing w:line="360" w:lineRule="auto"/>
        <w:rPr>
          <w:rFonts w:ascii="宋体" w:hAnsi="宋体"/>
        </w:rPr>
      </w:pPr>
      <w:r>
        <w:rPr>
          <w:rFonts w:hint="eastAsia" w:ascii="宋体" w:hAnsi="宋体"/>
        </w:rPr>
        <w:t>6.需要时采购人应向成交供应商提供有关项目图纸及相关技术资料，成交供应商对采购人提供的所有技术资料，包括各类纸张文本、图纸、电子版资料等，应做好保密工作，不得挪作其他用途。</w:t>
      </w:r>
    </w:p>
    <w:p>
      <w:pPr>
        <w:spacing w:line="360" w:lineRule="auto"/>
        <w:rPr>
          <w:rFonts w:hint="eastAsia" w:ascii="宋体"/>
        </w:rPr>
      </w:pPr>
      <w:r>
        <w:rPr>
          <w:rFonts w:hint="eastAsia" w:ascii="宋体" w:hAnsi="宋体"/>
        </w:rPr>
        <w:t>7.成交供应商每次维护工作都需记录，填写登记表并交采购人使用部门负责人确认。每月须以书面形式向采购人空调系统管理负责人汇报设备的状况，如遇特殊情况，必须及时汇报。在每年应对全年的维保工作进行总结，对维保范围内的设备进行年度评估，并根据评现状向采购人提出建议和制定下个年度的维保计划。</w:t>
      </w:r>
    </w:p>
    <w:p>
      <w:pPr>
        <w:spacing w:line="360" w:lineRule="auto"/>
        <w:rPr>
          <w:rFonts w:hint="eastAsia" w:ascii="宋体" w:hAnsi="宋体"/>
        </w:rPr>
      </w:pPr>
      <w:r>
        <w:rPr>
          <w:rFonts w:hint="eastAsia" w:ascii="宋体" w:hAnsi="宋体"/>
        </w:rPr>
        <w:t>8.成交供应商应为采购人指定</w:t>
      </w:r>
      <w:r>
        <w:rPr>
          <w:rFonts w:hint="eastAsia" w:ascii="宋体" w:hAnsi="宋体"/>
          <w:highlight w:val="none"/>
        </w:rPr>
        <w:t>全自动药品单剂量分包机</w:t>
      </w:r>
      <w:r>
        <w:rPr>
          <w:rFonts w:hint="eastAsia" w:ascii="宋体" w:hAnsi="宋体"/>
        </w:rPr>
        <w:t>建立完整维修保养档案，定期提供给采购人。</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pStyle w:val="4"/>
        <w:ind w:left="0"/>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5"/>
        <w:numPr>
          <w:ilvl w:val="0"/>
          <w:numId w:val="4"/>
        </w:numPr>
        <w:jc w:val="center"/>
      </w:pPr>
      <w:bookmarkStart w:id="4" w:name="_Toc32635"/>
      <w:r>
        <w:rPr>
          <w:rFonts w:hint="eastAsia"/>
        </w:rPr>
        <w:t>评分标准</w:t>
      </w:r>
      <w:bookmarkEnd w:id="4"/>
    </w:p>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spacing w:line="500" w:lineRule="exact"/>
        <w:jc w:val="center"/>
        <w:rPr>
          <w:rFonts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评分表</w:t>
      </w:r>
    </w:p>
    <w:p>
      <w:pPr>
        <w:tabs>
          <w:tab w:val="left" w:pos="530"/>
        </w:tabs>
        <w:spacing w:line="460" w:lineRule="atLeast"/>
        <w:rPr>
          <w:rFonts w:ascii="宋体" w:hAnsi="宋体"/>
          <w:b/>
          <w:sz w:val="24"/>
        </w:rPr>
      </w:pPr>
      <w:r>
        <w:rPr>
          <w:rFonts w:hint="eastAsia" w:ascii="宋体" w:hAnsi="宋体"/>
          <w:b/>
          <w:sz w:val="24"/>
        </w:rPr>
        <w:t>一、评分权重</w:t>
      </w:r>
    </w:p>
    <w:tbl>
      <w:tblPr>
        <w:tblStyle w:val="51"/>
        <w:tblW w:w="6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803" w:type="dxa"/>
            <w:shd w:val="clear" w:color="auto" w:fill="auto"/>
            <w:vAlign w:val="center"/>
          </w:tcPr>
          <w:p>
            <w:pPr>
              <w:jc w:val="center"/>
              <w:rPr>
                <w:rFonts w:ascii="宋体" w:hAnsi="宋体" w:cs="宋体"/>
                <w:b/>
                <w:szCs w:val="21"/>
              </w:rPr>
            </w:pPr>
            <w:r>
              <w:rPr>
                <w:rFonts w:hint="eastAsia" w:ascii="宋体" w:hAnsi="宋体" w:cs="宋体"/>
                <w:b/>
                <w:szCs w:val="21"/>
              </w:rPr>
              <w:t>评分项目</w:t>
            </w:r>
          </w:p>
        </w:tc>
        <w:tc>
          <w:tcPr>
            <w:tcW w:w="3277" w:type="dxa"/>
            <w:vAlign w:val="center"/>
          </w:tcPr>
          <w:p>
            <w:pPr>
              <w:jc w:val="center"/>
              <w:rPr>
                <w:rFonts w:ascii="宋体" w:hAnsi="宋体" w:cs="宋体"/>
                <w:b/>
                <w:szCs w:val="21"/>
              </w:rPr>
            </w:pPr>
            <w:r>
              <w:rPr>
                <w:rFonts w:hint="eastAsia" w:ascii="宋体" w:hAnsi="宋体" w:cs="宋体"/>
                <w:b/>
                <w:szCs w:val="21"/>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803" w:type="dxa"/>
            <w:shd w:val="clear" w:color="auto" w:fill="auto"/>
            <w:vAlign w:val="center"/>
          </w:tcPr>
          <w:p>
            <w:pPr>
              <w:jc w:val="center"/>
              <w:rPr>
                <w:rFonts w:ascii="宋体" w:hAnsi="宋体" w:cs="宋体"/>
                <w:b/>
                <w:szCs w:val="21"/>
              </w:rPr>
            </w:pPr>
            <w:r>
              <w:rPr>
                <w:rFonts w:hint="eastAsia" w:ascii="宋体" w:hAnsi="宋体" w:cs="宋体"/>
                <w:b/>
                <w:szCs w:val="21"/>
              </w:rPr>
              <w:t>权    重</w:t>
            </w:r>
          </w:p>
        </w:tc>
        <w:tc>
          <w:tcPr>
            <w:tcW w:w="3277" w:type="dxa"/>
            <w:vAlign w:val="center"/>
          </w:tcPr>
          <w:p>
            <w:pPr>
              <w:jc w:val="center"/>
              <w:rPr>
                <w:rFonts w:ascii="宋体" w:hAnsi="宋体" w:cs="宋体"/>
                <w:szCs w:val="21"/>
              </w:rPr>
            </w:pPr>
            <w:r>
              <w:rPr>
                <w:rFonts w:hint="eastAsia" w:ascii="宋体" w:hAnsi="宋体" w:cs="宋体"/>
                <w:szCs w:val="21"/>
              </w:rPr>
              <w:t>100分</w:t>
            </w:r>
          </w:p>
        </w:tc>
      </w:tr>
    </w:tbl>
    <w:p>
      <w:pPr>
        <w:spacing w:line="420" w:lineRule="exact"/>
        <w:rPr>
          <w:rFonts w:ascii="宋体" w:hAnsi="宋体"/>
          <w:b/>
        </w:rPr>
      </w:pPr>
      <w:r>
        <w:rPr>
          <w:rFonts w:hint="eastAsia" w:ascii="宋体" w:hAnsi="宋体"/>
          <w:szCs w:val="21"/>
        </w:rPr>
        <w:t>注：本项目采用</w:t>
      </w:r>
      <w:r>
        <w:rPr>
          <w:rFonts w:hint="eastAsia" w:ascii="宋体" w:hAnsi="宋体"/>
          <w:szCs w:val="21"/>
          <w:lang w:val="en-US" w:eastAsia="zh-CN"/>
        </w:rPr>
        <w:t>合理最低价</w:t>
      </w:r>
      <w:r>
        <w:rPr>
          <w:rFonts w:hint="eastAsia" w:ascii="宋体" w:hAnsi="宋体"/>
          <w:szCs w:val="21"/>
        </w:rPr>
        <w:t>方式，以现场谈判中各供应商</w:t>
      </w:r>
      <w:r>
        <w:rPr>
          <w:rFonts w:hint="eastAsia" w:ascii="宋体" w:hAnsi="宋体"/>
          <w:szCs w:val="21"/>
          <w:lang w:val="en-US" w:eastAsia="zh-CN"/>
        </w:rPr>
        <w:t>满足用户需求条件下</w:t>
      </w:r>
      <w:r>
        <w:rPr>
          <w:rFonts w:hint="eastAsia" w:ascii="宋体" w:hAnsi="宋体"/>
          <w:szCs w:val="21"/>
        </w:rPr>
        <w:t>报价文件中的最</w:t>
      </w:r>
      <w:r>
        <w:rPr>
          <w:rFonts w:hint="eastAsia" w:ascii="宋体" w:hAnsi="宋体"/>
          <w:szCs w:val="21"/>
          <w:lang w:val="en-US" w:eastAsia="zh-CN"/>
        </w:rPr>
        <w:t>低</w:t>
      </w:r>
      <w:r>
        <w:rPr>
          <w:rFonts w:hint="eastAsia" w:ascii="宋体" w:hAnsi="宋体"/>
          <w:szCs w:val="21"/>
        </w:rPr>
        <w:t>报价为预成交价。</w:t>
      </w:r>
      <w:r>
        <w:rPr>
          <w:rFonts w:ascii="宋体" w:hAnsi="宋体"/>
          <w:b/>
        </w:rPr>
        <w:t xml:space="preserve"> </w:t>
      </w:r>
    </w:p>
    <w:p>
      <w:pPr>
        <w:tabs>
          <w:tab w:val="left" w:pos="530"/>
        </w:tabs>
        <w:spacing w:line="460" w:lineRule="atLeast"/>
        <w:rPr>
          <w:rFonts w:ascii="宋体" w:hAnsi="宋体"/>
          <w:b/>
          <w:sz w:val="24"/>
        </w:rPr>
      </w:pPr>
    </w:p>
    <w:p>
      <w:pPr>
        <w:widowControl/>
        <w:jc w:val="left"/>
      </w:pPr>
      <w:r>
        <w:br w:type="page"/>
      </w:r>
    </w:p>
    <w:p/>
    <w:p>
      <w:pPr>
        <w:pStyle w:val="5"/>
        <w:jc w:val="center"/>
        <w:rPr>
          <w:rFonts w:ascii="宋体" w:hAnsi="宋体" w:cs="宋体"/>
        </w:rPr>
      </w:pPr>
    </w:p>
    <w:p>
      <w:pPr>
        <w:pStyle w:val="5"/>
        <w:jc w:val="center"/>
        <w:rPr>
          <w:rFonts w:ascii="宋体" w:hAnsi="宋体" w:cs="宋体"/>
        </w:rPr>
      </w:pPr>
    </w:p>
    <w:p>
      <w:pPr>
        <w:pStyle w:val="5"/>
        <w:jc w:val="center"/>
        <w:rPr>
          <w:rFonts w:ascii="宋体" w:hAnsi="宋体" w:cs="宋体"/>
        </w:rPr>
      </w:pPr>
    </w:p>
    <w:p>
      <w:pPr>
        <w:pStyle w:val="5"/>
        <w:jc w:val="center"/>
      </w:pPr>
      <w:bookmarkStart w:id="5" w:name="_Toc26271"/>
      <w:r>
        <w:rPr>
          <w:rFonts w:hint="eastAsia"/>
        </w:rPr>
        <w:t>第四部分　报价文件格式</w:t>
      </w:r>
      <w:bookmarkEnd w:id="5"/>
    </w:p>
    <w:p>
      <w:pPr>
        <w:rPr>
          <w:rFonts w:ascii="宋体" w:hAnsi="宋体" w:cs="宋体"/>
          <w:b/>
          <w:bCs/>
          <w:sz w:val="24"/>
        </w:rPr>
      </w:pPr>
      <w:r>
        <w:rPr>
          <w:rFonts w:hint="eastAsia" w:ascii="宋体" w:hAnsi="宋体" w:cs="宋体"/>
          <w:sz w:val="24"/>
        </w:rPr>
        <w:br w:type="page"/>
      </w:r>
      <w:r>
        <w:rPr>
          <w:rFonts w:hint="eastAsia" w:ascii="宋体" w:hAnsi="宋体" w:cs="宋体"/>
          <w:b/>
          <w:sz w:val="24"/>
        </w:rPr>
        <w:t>（1）</w:t>
      </w:r>
      <w:r>
        <w:rPr>
          <w:rFonts w:hint="eastAsia" w:ascii="宋体" w:hAnsi="宋体" w:cs="宋体"/>
          <w:b/>
          <w:bCs/>
          <w:sz w:val="24"/>
        </w:rPr>
        <w:t>参数偏离响应情况</w:t>
      </w:r>
    </w:p>
    <w:p>
      <w:pPr>
        <w:pStyle w:val="61"/>
      </w:pPr>
    </w:p>
    <w:tbl>
      <w:tblPr>
        <w:tblStyle w:val="51"/>
        <w:tblW w:w="94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3"/>
        <w:gridCol w:w="145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5483" w:type="dxa"/>
            <w:shd w:val="clear" w:color="auto" w:fill="auto"/>
            <w:vAlign w:val="center"/>
          </w:tcPr>
          <w:p>
            <w:pPr>
              <w:spacing w:beforeLines="50" w:afterLines="50" w:line="360" w:lineRule="exact"/>
              <w:jc w:val="both"/>
              <w:rPr>
                <w:rFonts w:ascii="宋体" w:hAnsi="宋体" w:cs="宋体"/>
                <w:b/>
                <w:color w:val="000000"/>
                <w:szCs w:val="21"/>
              </w:rPr>
            </w:pPr>
            <w:r>
              <w:rPr>
                <w:rFonts w:hint="eastAsia" w:ascii="宋体" w:hAnsi="宋体" w:cs="宋体"/>
                <w:b/>
                <w:bCs/>
                <w:color w:val="000000"/>
                <w:szCs w:val="21"/>
              </w:rPr>
              <w:t>名称</w:t>
            </w:r>
          </w:p>
        </w:tc>
        <w:tc>
          <w:tcPr>
            <w:tcW w:w="1450" w:type="dxa"/>
            <w:shd w:val="clear" w:color="auto" w:fill="auto"/>
            <w:vAlign w:val="center"/>
          </w:tcPr>
          <w:p>
            <w:pPr>
              <w:spacing w:beforeLines="50" w:afterLines="50" w:line="360" w:lineRule="exact"/>
              <w:jc w:val="both"/>
              <w:rPr>
                <w:rFonts w:hint="eastAsia" w:ascii="宋体" w:hAnsi="宋体" w:eastAsia="宋体" w:cs="宋体"/>
                <w:b/>
                <w:color w:val="000000"/>
                <w:szCs w:val="21"/>
                <w:lang w:eastAsia="zh-CN"/>
              </w:rPr>
            </w:pPr>
            <w:r>
              <w:rPr>
                <w:rFonts w:hint="eastAsia" w:ascii="宋体" w:hAnsi="宋体" w:cs="宋体"/>
                <w:b/>
                <w:bCs/>
                <w:color w:val="000000"/>
                <w:szCs w:val="21"/>
              </w:rPr>
              <w:t>偏离情况</w:t>
            </w:r>
            <w:r>
              <w:rPr>
                <w:rFonts w:hint="eastAsia" w:ascii="宋体" w:hAnsi="宋体" w:cs="宋体"/>
                <w:b/>
                <w:bCs/>
                <w:color w:val="000000"/>
                <w:szCs w:val="21"/>
                <w:lang w:eastAsia="zh-CN"/>
              </w:rPr>
              <w:t>（</w:t>
            </w:r>
            <w:r>
              <w:rPr>
                <w:rFonts w:hint="eastAsia" w:ascii="宋体" w:hAnsi="宋体" w:cs="宋体"/>
                <w:b/>
                <w:bCs/>
                <w:color w:val="000000"/>
                <w:szCs w:val="21"/>
              </w:rPr>
              <w:t>完全响应/正偏离/负偏离</w:t>
            </w:r>
            <w:r>
              <w:rPr>
                <w:rFonts w:hint="eastAsia" w:ascii="宋体" w:hAnsi="宋体" w:cs="宋体"/>
                <w:b/>
                <w:bCs/>
                <w:color w:val="000000"/>
                <w:szCs w:val="21"/>
                <w:lang w:eastAsia="zh-CN"/>
              </w:rPr>
              <w:t>）</w:t>
            </w:r>
          </w:p>
        </w:tc>
        <w:tc>
          <w:tcPr>
            <w:tcW w:w="2517" w:type="dxa"/>
            <w:shd w:val="clear" w:color="auto" w:fill="auto"/>
            <w:vAlign w:val="center"/>
          </w:tcPr>
          <w:p>
            <w:pPr>
              <w:spacing w:beforeLines="50" w:afterLines="50" w:line="360" w:lineRule="exact"/>
              <w:jc w:val="both"/>
              <w:rPr>
                <w:rFonts w:ascii="宋体" w:hAnsi="宋体" w:cs="宋体"/>
                <w:b/>
                <w:color w:val="000000"/>
                <w:szCs w:val="21"/>
              </w:rPr>
            </w:pPr>
            <w:r>
              <w:rPr>
                <w:rFonts w:hint="eastAsia" w:ascii="宋体" w:hAnsi="宋体" w:cs="宋体"/>
                <w:b/>
                <w:color w:val="000000"/>
                <w:szCs w:val="21"/>
              </w:rPr>
              <w:t>备注说明（原因）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584"/>
                <w:tab w:val="left" w:pos="616"/>
              </w:tabs>
              <w:spacing w:before="62" w:beforeLines="20" w:line="360" w:lineRule="exact"/>
              <w:jc w:val="both"/>
              <w:rPr>
                <w:rFonts w:ascii="宋体" w:hAnsi="宋体" w:eastAsia="宋体" w:cs="Times New Roman"/>
                <w:b/>
                <w:kern w:val="2"/>
                <w:sz w:val="21"/>
                <w:szCs w:val="24"/>
                <w:lang w:val="en-US" w:eastAsia="zh-CN" w:bidi="ar-SA"/>
              </w:rPr>
            </w:pPr>
            <w:r>
              <w:rPr>
                <w:rFonts w:hint="eastAsia" w:ascii="宋体" w:hAnsi="宋体"/>
                <w:b/>
              </w:rPr>
              <w:t>一、项目概况</w:t>
            </w:r>
          </w:p>
        </w:tc>
        <w:tc>
          <w:tcPr>
            <w:tcW w:w="1450" w:type="dxa"/>
            <w:shd w:val="clear" w:color="auto" w:fill="auto"/>
            <w:vAlign w:val="center"/>
          </w:tcPr>
          <w:p>
            <w:pPr>
              <w:spacing w:beforeLines="50" w:afterLines="50" w:line="360" w:lineRule="exact"/>
              <w:jc w:val="both"/>
              <w:rPr>
                <w:rFonts w:ascii="宋体" w:hAnsi="宋体" w:cs="宋体"/>
                <w:b/>
                <w:bCs/>
                <w:color w:val="000000"/>
                <w:szCs w:val="21"/>
              </w:rPr>
            </w:pPr>
          </w:p>
        </w:tc>
        <w:tc>
          <w:tcPr>
            <w:tcW w:w="2517" w:type="dxa"/>
            <w:shd w:val="clear" w:color="auto" w:fill="auto"/>
            <w:vAlign w:val="center"/>
          </w:tcPr>
          <w:p>
            <w:pPr>
              <w:spacing w:beforeLines="50" w:afterLines="50" w:line="360" w:lineRule="exact"/>
              <w:jc w:val="both"/>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ascii="宋体" w:hAnsi="宋体" w:eastAsia="宋体" w:cs="Times New Roman"/>
                <w:kern w:val="2"/>
                <w:sz w:val="21"/>
                <w:szCs w:val="24"/>
                <w:lang w:val="en-US" w:eastAsia="zh-CN" w:bidi="ar-SA"/>
              </w:rPr>
            </w:pPr>
            <w:r>
              <w:rPr>
                <w:rFonts w:hint="eastAsia" w:ascii="宋体" w:hAnsi="宋体"/>
              </w:rPr>
              <w:t>1.项目名称：中山市小榄人民医院全自动药品单剂量分包机维保项目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2.项目地点：中山市小榄人民医院内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ind w:firstLine="0" w:firstLineChars="0"/>
              <w:jc w:val="both"/>
              <w:rPr>
                <w:rFonts w:ascii="宋体" w:hAnsi="宋体" w:eastAsia="宋体" w:cs="Times New Roman"/>
                <w:b/>
                <w:kern w:val="2"/>
                <w:sz w:val="21"/>
                <w:szCs w:val="22"/>
                <w:lang w:val="en-US" w:eastAsia="zh-CN" w:bidi="ar-SA"/>
              </w:rPr>
            </w:pPr>
            <w:r>
              <w:rPr>
                <w:rFonts w:hint="eastAsia" w:ascii="宋体" w:hAnsi="宋体"/>
              </w:rPr>
              <w:t>二、</w:t>
            </w:r>
            <w:r>
              <w:rPr>
                <w:rFonts w:hint="eastAsia" w:ascii="宋体" w:hAnsi="宋体"/>
                <w:b/>
              </w:rPr>
              <w:t>响应供应商资质要求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before="62" w:beforeLines="20" w:line="480" w:lineRule="exact"/>
              <w:jc w:val="both"/>
              <w:rPr>
                <w:rFonts w:hint="eastAsia" w:ascii="宋体" w:hAnsi="宋体" w:eastAsia="宋体" w:cs="Times New Roman"/>
                <w:b/>
                <w:kern w:val="2"/>
                <w:sz w:val="21"/>
                <w:szCs w:val="24"/>
                <w:lang w:val="en-US" w:eastAsia="zh-CN" w:bidi="ar-SA"/>
              </w:rPr>
            </w:pPr>
            <w:r>
              <w:rPr>
                <w:rFonts w:hint="eastAsia" w:ascii="宋体" w:hAnsi="宋体"/>
              </w:rPr>
              <w:t>1、</w:t>
            </w:r>
            <w:r>
              <w:rPr>
                <w:rFonts w:hint="eastAsia" w:ascii="宋体" w:hAnsi="宋体" w:cs="Times New Roman"/>
              </w:rPr>
              <w:t>★</w:t>
            </w:r>
            <w:r>
              <w:rPr>
                <w:rFonts w:hint="eastAsia" w:ascii="宋体" w:hAnsi="宋体"/>
                <w:b/>
              </w:rPr>
              <w:t>响应供应商</w:t>
            </w:r>
            <w:r>
              <w:rPr>
                <w:rFonts w:hint="eastAsia" w:ascii="宋体" w:hAnsi="宋体" w:cs="Times New Roman"/>
                <w:b/>
              </w:rPr>
              <w:t>应满足以下要求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1.1</w:t>
            </w:r>
            <w:r>
              <w:rPr>
                <w:rFonts w:hint="eastAsia" w:ascii="宋体" w:hAnsi="宋体"/>
                <w:bCs/>
              </w:rPr>
              <w:t>响应供应商</w:t>
            </w:r>
            <w:r>
              <w:rPr>
                <w:rFonts w:hint="eastAsia" w:ascii="宋体" w:hAnsi="宋体"/>
                <w:color w:val="000000"/>
              </w:rPr>
              <w:t>应具备《政府采购法》第二十二条规定的条件。</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1.2</w:t>
            </w:r>
            <w:r>
              <w:rPr>
                <w:rFonts w:hint="eastAsia" w:ascii="宋体" w:hAnsi="宋体"/>
                <w:bCs/>
              </w:rPr>
              <w:t>响应供应商</w:t>
            </w:r>
            <w:r>
              <w:rPr>
                <w:rFonts w:hint="eastAsia" w:ascii="宋体" w:hAnsi="宋体"/>
                <w:color w:val="000000"/>
              </w:rPr>
              <w:t>须是在中华人民共和国境内注册的法人或其他组织，并独立于采购人和采购代理机构。</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s="Times New Roman"/>
              </w:rPr>
              <w:t>1.3维护保养工作人员须持有</w:t>
            </w:r>
            <w:r>
              <w:rPr>
                <w:rFonts w:hint="eastAsia" w:ascii="宋体" w:hAnsi="宋体" w:cs="Times New Roman"/>
                <w:highlight w:val="none"/>
              </w:rPr>
              <w:t>原厂</w:t>
            </w:r>
            <w:r>
              <w:rPr>
                <w:rFonts w:hint="eastAsia" w:ascii="宋体" w:hAnsi="宋体" w:cs="Times New Roman"/>
              </w:rPr>
              <w:t>资质证书或相关技术的上岗证。</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Times New Roman" w:hAnsi="Times New Roman" w:eastAsia="宋体" w:cs="Times New Roman"/>
                <w:color w:val="000000"/>
                <w:kern w:val="2"/>
                <w:sz w:val="21"/>
                <w:szCs w:val="24"/>
                <w:lang w:val="en-US" w:eastAsia="zh-CN" w:bidi="ar-SA"/>
              </w:rPr>
            </w:pPr>
            <w:r>
              <w:rPr>
                <w:rFonts w:hint="eastAsia" w:ascii="宋体" w:hAnsi="宋体"/>
                <w:color w:val="000000"/>
              </w:rPr>
              <w:t>1.4本项目不接受联合体形式报价。</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pStyle w:val="61"/>
              <w:spacing w:line="400" w:lineRule="exact"/>
              <w:ind w:firstLine="0" w:firstLineChars="0"/>
              <w:jc w:val="both"/>
              <w:rPr>
                <w:rFonts w:hint="eastAsia" w:ascii="宋体" w:hAnsi="宋体" w:eastAsia="宋体" w:cs="Times New Roman"/>
                <w:b/>
                <w:kern w:val="2"/>
                <w:sz w:val="21"/>
                <w:szCs w:val="22"/>
                <w:lang w:val="en-US" w:eastAsia="zh-CN" w:bidi="ar-SA"/>
              </w:rPr>
            </w:pPr>
            <w:r>
              <w:rPr>
                <w:rFonts w:hint="eastAsia" w:ascii="宋体" w:hAnsi="宋体"/>
                <w:b/>
              </w:rPr>
              <w:t>三、项目预算：</w:t>
            </w:r>
            <w:r>
              <w:rPr>
                <w:rFonts w:hint="eastAsia" w:ascii="宋体" w:hAnsi="宋体"/>
              </w:rPr>
              <w:t>15万</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400" w:lineRule="exact"/>
              <w:ind w:firstLine="0" w:firstLineChars="0"/>
              <w:jc w:val="both"/>
              <w:rPr>
                <w:rFonts w:hint="eastAsia" w:ascii="宋体" w:hAnsi="宋体" w:eastAsia="宋体" w:cs="Times New Roman"/>
                <w:b/>
                <w:kern w:val="2"/>
                <w:sz w:val="21"/>
                <w:szCs w:val="22"/>
                <w:lang w:val="en-US" w:eastAsia="zh-CN" w:bidi="ar-SA"/>
              </w:rPr>
            </w:pPr>
            <w:r>
              <w:rPr>
                <w:rFonts w:hint="eastAsia" w:ascii="宋体" w:hAnsi="宋体" w:cs="Times New Roman"/>
                <w:b/>
              </w:rPr>
              <w:t>四、服务期限：</w:t>
            </w:r>
            <w:r>
              <w:rPr>
                <w:rFonts w:hint="eastAsia" w:ascii="宋体" w:hAnsi="宋体" w:cs="Times New Roman"/>
              </w:rPr>
              <w:t>三年</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五、项目服务范围及要求：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★1、本项目服务范围：</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highlight w:val="none"/>
                <w:lang w:val="en-US" w:eastAsia="zh-CN" w:bidi="ar-SA"/>
              </w:rPr>
            </w:pPr>
            <w:r>
              <w:rPr>
                <w:rFonts w:hint="eastAsia" w:ascii="宋体" w:hAnsi="宋体"/>
                <w:highlight w:val="none"/>
              </w:rPr>
              <w:t>全自动药品单剂量分包机整机维修保养。</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2、本项目服务内容：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2.1本项目所涉及需要更换的材料及配件均由成交供应商负责。</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highlight w:val="none"/>
                <w:lang w:val="en-US" w:eastAsia="zh-CN" w:bidi="ar-SA"/>
              </w:rPr>
            </w:pPr>
            <w:r>
              <w:rPr>
                <w:rFonts w:hint="eastAsia" w:ascii="宋体" w:hAnsi="宋体"/>
                <w:highlight w:val="none"/>
              </w:rPr>
              <w:t>★2.2本项目全自动药品单剂量分包机服务内容如下（但不限于以下内容）：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hidden/>
        </w:trPr>
        <w:tc>
          <w:tcPr>
            <w:tcW w:w="5483" w:type="dxa"/>
            <w:shd w:val="clear" w:color="auto" w:fill="auto"/>
            <w:vAlign w:val="center"/>
          </w:tcPr>
          <w:p>
            <w:pPr>
              <w:jc w:val="both"/>
              <w:rPr>
                <w:rFonts w:hint="eastAsia" w:ascii="Times New Roman" w:hAnsi="Times New Roman" w:eastAsia="宋体" w:cs="Times New Roman"/>
                <w:vanish/>
                <w:kern w:val="2"/>
                <w:sz w:val="21"/>
                <w:szCs w:val="24"/>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tbl>
            <w:tblPr>
              <w:tblStyle w:val="51"/>
              <w:tblpPr w:leftFromText="180" w:rightFromText="180" w:vertAnchor="text" w:horzAnchor="page" w:tblpX="2207"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tcBorders>
                    <w:top w:val="single" w:color="auto" w:sz="4" w:space="0"/>
                  </w:tcBorders>
                  <w:shd w:val="clear" w:color="000000" w:fill="FFFFFF"/>
                  <w:noWrap/>
                  <w:textDirection w:val="tbRlV"/>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3456" w:type="dxa"/>
                  <w:vMerge w:val="restart"/>
                  <w:tcBorders>
                    <w:top w:val="single" w:color="auto" w:sz="4" w:space="0"/>
                  </w:tcBorders>
                  <w:shd w:val="clear" w:color="000000" w:fill="FFFFFF"/>
                  <w:noWrap/>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c>
                <w:tcPr>
                  <w:tcW w:w="3456"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维护保养服务项目: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3456" w:type="dxa"/>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3456" w:type="dxa"/>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3456" w:type="dxa"/>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restart"/>
                  <w:tcBorders>
                    <w:top w:val="single" w:color="auto" w:sz="4" w:space="0"/>
                  </w:tcBorders>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3456" w:type="dxa"/>
                  <w:vMerge w:val="restart"/>
                  <w:tcBorders>
                    <w:top w:val="single" w:color="auto" w:sz="4" w:space="0"/>
                  </w:tcBorders>
                  <w:noWrap/>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c>
                <w:tcPr>
                  <w:tcW w:w="3456"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维修操作服务项目: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移机服务（摆药机+电脑）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电脑软件重新安装部署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增加药盒 绑定药盒 调整药盒位置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修改药盒以适应药品变化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订做药盒（整片、半片药盒）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远程监控操作服务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杀毒、防毒服务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药袋打印不清晰调整服务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更换不工作药盒底座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药袋纸封口调整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药袋成型调整设定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控制电路板更换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包装单元机械零件更换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打印机单元零件更换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药袋传输装置单元零件更换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主机柜与扩展机柜药品通道连接件更换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机柜通风网更换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漏斗更换 塑料 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传感器校验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药品掉落错误维修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SDM掉落错误检查维修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药品多掉少掉监测维修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异常错误监测维修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培训、咨询服务项目: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摆药机软件操作培训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摆药机耗材更换培训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摆药机卷纸应对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摆药机打印格式调整应对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中间表字段填写相关意义解释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配合医院调整中间表和摆药机数据库工作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配合医院调整涉及摆药机的工作</w:t>
                  </w:r>
                </w:p>
              </w:tc>
            </w:tr>
          </w:tbl>
          <w:p>
            <w:pPr>
              <w:spacing w:line="360" w:lineRule="auto"/>
              <w:jc w:val="both"/>
              <w:rPr>
                <w:rFonts w:hint="eastAsia" w:ascii="宋体" w:hAnsi="宋体" w:eastAsia="宋体" w:cs="Times New Roman"/>
                <w:b/>
                <w:kern w:val="2"/>
                <w:sz w:val="21"/>
                <w:szCs w:val="24"/>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3.项目服务要求：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1.投标人具备原生产厂家关于本项目售后服务的授权或技术合作协议。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2.维保期内故障报修电话响应时间≤30分钟，工程师到场维修时限≤6小时。</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3.全国范围内开通热线电话，24 小时×365 天有工程师接听，可为用户快速诊断和技术支持服务。</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bCs/>
                <w:color w:val="000000"/>
                <w:kern w:val="2"/>
                <w:sz w:val="21"/>
                <w:szCs w:val="24"/>
                <w:lang w:val="en-US" w:eastAsia="zh-CN" w:bidi="ar-SA"/>
              </w:rPr>
            </w:pPr>
            <w:r>
              <w:rPr>
                <w:rFonts w:hint="eastAsia" w:ascii="宋体" w:hAnsi="宋体"/>
              </w:rPr>
              <w:t>4.现场或紧急维修：不限次数现场或紧急维修。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5.</w:t>
            </w:r>
            <w:r>
              <w:rPr>
                <w:rFonts w:hint="eastAsia" w:ascii="宋体" w:hAnsi="宋体"/>
                <w:lang w:val="en-US" w:eastAsia="zh-CN"/>
              </w:rPr>
              <w:t>成交供应商</w:t>
            </w:r>
            <w:r>
              <w:rPr>
                <w:rFonts w:hint="eastAsia" w:ascii="宋体" w:hAnsi="宋体"/>
              </w:rPr>
              <w:t>在维保服务期内无偿提供设备的软硬件安全升级（非功能性软件），以提高设备的安全性和性能，并提供所有升级资料和记录。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6.</w:t>
            </w:r>
            <w:r>
              <w:rPr>
                <w:rFonts w:hint="eastAsia" w:ascii="宋体" w:hAnsi="宋体"/>
                <w:lang w:eastAsia="zh-CN"/>
              </w:rPr>
              <w:t>成交供应商</w:t>
            </w:r>
            <w:r>
              <w:rPr>
                <w:rFonts w:hint="eastAsia" w:ascii="宋体" w:hAnsi="宋体"/>
              </w:rPr>
              <w:t>每年提供年度的维修、维护服务记录，包括维修次数，维修内容，备件数量，保养次数，维修、保养报告等。</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7.维保培训要求：须派遣有经验的工程师提供培训服务，如设备规范化使用、操作、日常维护保养和管理等。</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六、维护保养范围及技术要求（但不限于以下内容）：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0"/>
                <w:tab w:val="left" w:pos="705"/>
              </w:tabs>
              <w:spacing w:line="360" w:lineRule="auto"/>
              <w:ind w:left="-122" w:leftChars="-58" w:right="-359" w:rightChars="-171"/>
              <w:jc w:val="both"/>
              <w:outlineLvl w:val="0"/>
              <w:rPr>
                <w:rFonts w:hint="eastAsia" w:ascii="宋体" w:hAnsi="Times New Roman" w:eastAsia="宋体" w:cs="Times New Roman"/>
                <w:b/>
                <w:bCs/>
                <w:kern w:val="2"/>
                <w:sz w:val="21"/>
                <w:szCs w:val="24"/>
                <w:lang w:val="en-US" w:eastAsia="zh-CN" w:bidi="ar-SA"/>
              </w:rPr>
            </w:pPr>
            <w:r>
              <w:rPr>
                <w:rFonts w:hint="eastAsia" w:ascii="宋体" w:hAnsi="宋体"/>
                <w:b/>
                <w:bCs/>
              </w:rPr>
              <w:t>（一）全自动药品单剂量分包机维修保养要求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kern w:val="2"/>
                <w:sz w:val="21"/>
                <w:szCs w:val="24"/>
                <w:lang w:val="en-US" w:eastAsia="zh-CN" w:bidi="ar-SA"/>
              </w:rPr>
            </w:pPr>
            <w:r>
              <w:rPr>
                <w:rFonts w:ascii="宋体" w:hAnsi="宋体"/>
                <w:b/>
              </w:rPr>
              <w:t>1</w:t>
            </w:r>
            <w:r>
              <w:rPr>
                <w:rFonts w:hint="eastAsia" w:ascii="宋体" w:hAnsi="宋体"/>
                <w:b/>
              </w:rPr>
              <w:t>.正常运转中的维护（每月一次）</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tbl>
            <w:tblPr>
              <w:tblStyle w:val="51"/>
              <w:tblpPr w:leftFromText="180" w:rightFromText="180" w:vertAnchor="text" w:horzAnchor="page" w:tblpX="2207"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0" w:type="auto"/>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0" w:type="auto"/>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0" w:type="auto"/>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bl>
          <w:p>
            <w:pPr>
              <w:pStyle w:val="3"/>
              <w:tabs>
                <w:tab w:val="left" w:pos="6300"/>
                <w:tab w:val="left" w:pos="6839"/>
              </w:tabs>
              <w:spacing w:line="360" w:lineRule="auto"/>
              <w:jc w:val="both"/>
              <w:rPr>
                <w:rFonts w:hint="eastAsia" w:ascii="Times New Roman" w:hAnsi="Times New Roman" w:eastAsia="宋体" w:cs="宋体"/>
                <w:kern w:val="2"/>
                <w:sz w:val="21"/>
                <w:szCs w:val="21"/>
                <w:highlight w:val="none"/>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七、维护保养工作时间安排（但不限于以下内容）：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1.1成交供应商委派维修经验丰富的工作人员负责维修保养各系统的运行巡检、突发故障的处理等，保证各系统正常工作。</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1.2工作人员每日到使用科室巡视各系统运行情况并作好记录，保证温湿度在正常控制范围内，发现及时处理。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1.3接到故障报修电话，及时予以解决处理，若无法处理应及时增派技术人员前来快速解决；半年或年度大型维护保养时成交供应商应集中派技术人员进行处理。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bCs/>
                <w:kern w:val="2"/>
                <w:sz w:val="21"/>
                <w:szCs w:val="24"/>
                <w:lang w:val="en-US" w:eastAsia="zh-CN" w:bidi="ar-SA"/>
              </w:rPr>
            </w:pPr>
            <w:r>
              <w:rPr>
                <w:rFonts w:hint="eastAsia" w:ascii="宋体" w:hAnsi="宋体"/>
                <w:b/>
                <w:bCs/>
              </w:rPr>
              <w:t>八、验收标准及付款方法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1、验收标准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1.1成交供应商每个季度向采购人提交维保总结报告书和验收申请，由采购人确认，并作为付款依据。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1.2在合同开始执行时和本合同期满后，由成交供应商</w:t>
            </w:r>
            <w:r>
              <w:rPr>
                <w:rFonts w:hint="eastAsia" w:ascii="宋体" w:hAnsi="宋体"/>
                <w:lang w:val="en-US" w:eastAsia="zh-CN"/>
              </w:rPr>
              <w:t>和</w:t>
            </w:r>
            <w:r>
              <w:rPr>
                <w:rFonts w:hint="eastAsia" w:ascii="宋体" w:hAnsi="宋体"/>
              </w:rPr>
              <w:t>采购人共同对采购人的所有全自动药品单剂量分包机进行验收。成交供应商在移交前必须确保报价文件及合同维保范围内的设备处于正常运行状态，成交供应商应检修完成后再交付，否则采购人有权请第三方维修，所产生的费用由成交供应商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2、付款办法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1．按季度支付服务款项，每年分四次支付 。</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2．在按约定付款前，成交供应商应开具符合国家税务规定的相应金额的服务发票给采购方，否则采购方有权拒绝付款，该项拒绝不视为违约，因开具发票所产生的税费由</w:t>
            </w:r>
            <w:r>
              <w:rPr>
                <w:rFonts w:hint="eastAsia" w:ascii="宋体" w:hAnsi="宋体"/>
                <w:lang w:val="en-US" w:eastAsia="zh-CN"/>
              </w:rPr>
              <w:t>成交供应商</w:t>
            </w:r>
            <w:r>
              <w:rPr>
                <w:rFonts w:hint="eastAsia" w:ascii="宋体" w:hAnsi="宋体"/>
              </w:rPr>
              <w:t>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九、其他要求：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1.成交供应商在维保期内应保证其维保范围内的设备安全可靠、无故障运行。</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2.成交供应商对维保范围内的主要设备每天进行巡查，并填写巡查记录表，发现问题及时处理。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3.成交供应商应设有</w:t>
            </w:r>
            <w:r>
              <w:rPr>
                <w:rFonts w:ascii="宋体" w:hAnsi="宋体"/>
              </w:rPr>
              <w:t>24</w:t>
            </w:r>
            <w:r>
              <w:rPr>
                <w:rFonts w:hint="eastAsia" w:ascii="宋体" w:hAnsi="宋体"/>
              </w:rPr>
              <w:t>小时电话服务，维保范围内的设备出现故障时，成交供应商在接到通知后</w:t>
            </w:r>
            <w:r>
              <w:rPr>
                <w:rFonts w:ascii="宋体" w:hAnsi="宋体"/>
              </w:rPr>
              <w:t>1</w:t>
            </w:r>
            <w:r>
              <w:rPr>
                <w:rFonts w:hint="eastAsia" w:ascii="宋体" w:hAnsi="宋体"/>
              </w:rPr>
              <w:t>小时内到现场进行处理；如系统发生重大故障不能正常运行的，成交供应商应在接到通知后</w:t>
            </w:r>
            <w:r>
              <w:rPr>
                <w:rFonts w:ascii="宋体" w:hAnsi="宋体"/>
              </w:rPr>
              <w:t>3</w:t>
            </w:r>
            <w:r>
              <w:rPr>
                <w:rFonts w:hint="eastAsia" w:ascii="宋体" w:hAnsi="宋体"/>
              </w:rPr>
              <w:t>小时内到达现场查修；若因故不能即时修复而影响系统正常运作，应及时通知采购人，同时，成交供应商应做好相应的临时补救措施，并有书面记录存查。</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4.维保人员工作时应文明礼貌，遵守采购人有关管理制度，如因成交供应商责任造成的停工、返工、材料、器材损失等均由成交供应商承担。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5. 在不影响采购人正常工作的情况下进行维修保养工作（如利用用餐时间或晚上休息时间等），应做到文明施工，做好安全防护措施，确保人身安全，如在维保过程中发生事故、工作人员及其他人员受到伤害的由成交供应商负责，采购人不负任何责任。</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6.需要时采购人应向成交供应商提供有关项目图纸及相关技术资料，成交供应商对采购人提供的所有技术资料，包括各类纸张文本、图纸、电子版资料等，应做好保密工作，不得挪作其他用途。</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lang w:val="en-US" w:eastAsia="zh-CN" w:bidi="ar-SA"/>
              </w:rPr>
            </w:pPr>
            <w:r>
              <w:rPr>
                <w:rFonts w:hint="eastAsia" w:ascii="宋体" w:hAnsi="宋体"/>
              </w:rPr>
              <w:t>7.成交供应商每次维护工作都需记录，填写登记表并交采购人使用部门负责人确认。每月须以书面形式向采购人空调系统管理负责人汇报设备的状况，如遇特殊情况，必须及时汇报。在每年应对全年的维保工作进行总结，对维保范围内的设备进行年度评估，并根据评现状向采购人提出建议和制定下个年度的维保计划。</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8.成交供应商应为采购人指定</w:t>
            </w:r>
            <w:r>
              <w:rPr>
                <w:rFonts w:hint="eastAsia" w:ascii="宋体" w:hAnsi="宋体"/>
                <w:highlight w:val="none"/>
              </w:rPr>
              <w:t>全自动药品单剂量分包机</w:t>
            </w:r>
            <w:r>
              <w:rPr>
                <w:rFonts w:hint="eastAsia" w:ascii="宋体" w:hAnsi="宋体"/>
              </w:rPr>
              <w:t>建立完整维修保养档案，定期提供给采购人。</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bl>
    <w:p>
      <w:pPr>
        <w:spacing w:beforeLines="50" w:afterLines="50" w:line="360" w:lineRule="auto"/>
        <w:rPr>
          <w:rFonts w:ascii="宋体" w:hAnsi="宋体" w:cs="宋体"/>
          <w:sz w:val="24"/>
        </w:rPr>
      </w:pP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widowControl/>
        <w:jc w:val="left"/>
        <w:rPr>
          <w:rFonts w:ascii="宋体" w:hAnsi="宋体" w:cs="宋体"/>
          <w:b/>
          <w:bCs/>
          <w:sz w:val="24"/>
        </w:rPr>
      </w:pPr>
      <w:r>
        <w:rPr>
          <w:rFonts w:hAnsi="宋体" w:cs="宋体"/>
          <w:b/>
          <w:bCs/>
          <w:sz w:val="24"/>
        </w:rPr>
        <w:br w:type="page"/>
      </w:r>
    </w:p>
    <w:p>
      <w:pPr>
        <w:pStyle w:val="26"/>
        <w:tabs>
          <w:tab w:val="left" w:pos="0"/>
        </w:tabs>
        <w:adjustRightInd w:val="0"/>
        <w:snapToGrid w:val="0"/>
        <w:spacing w:line="420" w:lineRule="exact"/>
        <w:rPr>
          <w:rFonts w:hAnsi="宋体" w:cs="宋体"/>
          <w:sz w:val="24"/>
          <w:szCs w:val="24"/>
        </w:rPr>
      </w:pPr>
      <w:r>
        <w:rPr>
          <w:rFonts w:hint="eastAsia" w:hAnsi="宋体" w:cs="宋体"/>
          <w:b/>
          <w:bCs/>
          <w:sz w:val="24"/>
          <w:szCs w:val="24"/>
        </w:rPr>
        <w:t>（2）报价单</w:t>
      </w:r>
      <w:r>
        <w:rPr>
          <w:rFonts w:hint="eastAsia" w:hAnsi="宋体" w:cs="宋体"/>
          <w:sz w:val="24"/>
          <w:szCs w:val="24"/>
        </w:rPr>
        <w:t xml:space="preserve"> </w:t>
      </w:r>
    </w:p>
    <w:p>
      <w:pPr>
        <w:pStyle w:val="26"/>
        <w:tabs>
          <w:tab w:val="left" w:pos="0"/>
        </w:tabs>
        <w:adjustRightInd w:val="0"/>
        <w:snapToGrid w:val="0"/>
        <w:spacing w:line="420" w:lineRule="exact"/>
        <w:rPr>
          <w:rFonts w:hAnsi="宋体" w:cs="宋体"/>
          <w:sz w:val="24"/>
          <w:szCs w:val="24"/>
        </w:rPr>
      </w:pPr>
    </w:p>
    <w:tbl>
      <w:tblPr>
        <w:tblStyle w:val="51"/>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20"/>
        <w:gridCol w:w="1459"/>
        <w:gridCol w:w="1455"/>
        <w:gridCol w:w="166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序号</w:t>
            </w:r>
          </w:p>
        </w:tc>
        <w:tc>
          <w:tcPr>
            <w:tcW w:w="1920"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bCs/>
                <w:color w:val="000000"/>
                <w:szCs w:val="21"/>
              </w:rPr>
              <w:t>项目名称</w:t>
            </w:r>
          </w:p>
        </w:tc>
        <w:tc>
          <w:tcPr>
            <w:tcW w:w="1459"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bCs/>
                <w:color w:val="000000"/>
                <w:szCs w:val="21"/>
              </w:rPr>
              <w:t>数量</w:t>
            </w:r>
          </w:p>
        </w:tc>
        <w:tc>
          <w:tcPr>
            <w:tcW w:w="145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单价</w:t>
            </w: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总价</w:t>
            </w: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pPr>
              <w:spacing w:beforeLines="50" w:afterLines="50" w:line="360" w:lineRule="exact"/>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1</w:t>
            </w:r>
          </w:p>
        </w:tc>
        <w:tc>
          <w:tcPr>
            <w:tcW w:w="1920" w:type="dxa"/>
            <w:shd w:val="clear" w:color="auto" w:fill="auto"/>
            <w:vAlign w:val="center"/>
          </w:tcPr>
          <w:p>
            <w:pPr>
              <w:spacing w:beforeLines="50" w:afterLines="50" w:line="360" w:lineRule="exact"/>
              <w:jc w:val="center"/>
              <w:rPr>
                <w:rFonts w:ascii="宋体" w:hAnsi="宋体" w:cs="宋体"/>
                <w:b/>
                <w:bCs/>
                <w:color w:val="000000"/>
                <w:szCs w:val="21"/>
              </w:rPr>
            </w:pPr>
            <w:r>
              <w:rPr>
                <w:rFonts w:hint="eastAsia" w:ascii="宋体" w:hAnsi="宋体" w:eastAsia="宋体" w:cs="宋体"/>
                <w:b w:val="0"/>
                <w:bCs w:val="0"/>
                <w:color w:val="000000"/>
                <w:szCs w:val="21"/>
                <w:lang w:val="en-US" w:eastAsia="zh-CN"/>
              </w:rPr>
              <w:t>中山市小榄人民医院全自动药品单剂量分包机维保项目</w:t>
            </w:r>
          </w:p>
        </w:tc>
        <w:tc>
          <w:tcPr>
            <w:tcW w:w="1459" w:type="dxa"/>
            <w:shd w:val="clear" w:color="auto" w:fill="auto"/>
            <w:vAlign w:val="center"/>
          </w:tcPr>
          <w:p>
            <w:pPr>
              <w:spacing w:beforeLines="50" w:afterLines="50" w:line="360" w:lineRule="exact"/>
              <w:jc w:val="center"/>
              <w:rPr>
                <w:rFonts w:hint="default" w:ascii="宋体" w:hAnsi="宋体" w:eastAsia="宋体" w:cs="宋体"/>
                <w:b/>
                <w:bCs/>
                <w:color w:val="000000"/>
                <w:szCs w:val="21"/>
                <w:lang w:val="en-US" w:eastAsia="zh-CN"/>
              </w:rPr>
            </w:pPr>
            <w:r>
              <w:rPr>
                <w:rFonts w:hint="eastAsia" w:ascii="宋体" w:hAnsi="宋体" w:cs="宋体"/>
                <w:b w:val="0"/>
                <w:bCs w:val="0"/>
                <w:color w:val="000000"/>
                <w:szCs w:val="21"/>
                <w:lang w:val="en-US" w:eastAsia="zh-CN"/>
              </w:rPr>
              <w:t>3年</w:t>
            </w:r>
          </w:p>
        </w:tc>
        <w:tc>
          <w:tcPr>
            <w:tcW w:w="1455" w:type="dxa"/>
            <w:shd w:val="clear" w:color="auto" w:fill="auto"/>
            <w:vAlign w:val="center"/>
          </w:tcPr>
          <w:p>
            <w:pPr>
              <w:spacing w:beforeLines="50" w:afterLines="50" w:line="360" w:lineRule="exact"/>
              <w:jc w:val="center"/>
              <w:rPr>
                <w:rFonts w:ascii="宋体" w:hAnsi="宋体" w:cs="宋体"/>
                <w:b/>
                <w:color w:val="000000"/>
                <w:szCs w:val="21"/>
              </w:rPr>
            </w:pP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p>
        </w:tc>
      </w:tr>
    </w:tbl>
    <w:p>
      <w:pPr>
        <w:pStyle w:val="26"/>
        <w:tabs>
          <w:tab w:val="left" w:pos="0"/>
        </w:tabs>
        <w:adjustRightInd w:val="0"/>
        <w:snapToGrid w:val="0"/>
        <w:spacing w:line="420" w:lineRule="exact"/>
        <w:rPr>
          <w:rFonts w:hAnsi="宋体" w:cs="宋体"/>
          <w:b/>
          <w:bCs/>
          <w:sz w:val="24"/>
          <w:szCs w:val="24"/>
        </w:rPr>
      </w:pPr>
      <w:r>
        <w:rPr>
          <w:rFonts w:hint="eastAsia" w:hAnsi="宋体" w:cs="宋体"/>
          <w:color w:val="000000"/>
          <w:sz w:val="24"/>
          <w:szCs w:val="24"/>
        </w:rPr>
        <w:t>注：如有分项报价，可自行编辑列表填入</w:t>
      </w:r>
    </w:p>
    <w:p>
      <w:pPr>
        <w:spacing w:beforeLines="50" w:afterLines="50" w:line="360" w:lineRule="auto"/>
        <w:rPr>
          <w:rFonts w:ascii="宋体" w:hAnsi="宋体" w:cs="宋体"/>
          <w:sz w:val="24"/>
        </w:rPr>
      </w:pP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（3）法定代表人授权委托书</w:t>
      </w:r>
    </w:p>
    <w:p>
      <w:pPr>
        <w:pStyle w:val="26"/>
        <w:tabs>
          <w:tab w:val="left" w:pos="0"/>
        </w:tabs>
        <w:adjustRightInd w:val="0"/>
        <w:snapToGrid w:val="0"/>
        <w:spacing w:line="420" w:lineRule="exact"/>
        <w:rPr>
          <w:rFonts w:hAnsi="宋体" w:cs="宋体"/>
          <w:sz w:val="24"/>
          <w:szCs w:val="24"/>
        </w:rPr>
      </w:pPr>
    </w:p>
    <w:p>
      <w:pPr>
        <w:spacing w:line="360" w:lineRule="auto"/>
        <w:jc w:val="center"/>
        <w:rPr>
          <w:rFonts w:ascii="宋体" w:hAnsi="宋体" w:cs="宋体"/>
          <w:b/>
          <w:bCs/>
          <w:sz w:val="24"/>
        </w:rPr>
      </w:pPr>
      <w:r>
        <w:rPr>
          <w:rFonts w:hint="eastAsia" w:ascii="宋体" w:hAnsi="宋体" w:cs="宋体"/>
          <w:b/>
          <w:bCs/>
          <w:sz w:val="24"/>
        </w:rPr>
        <w:t>法定代表人授权委托书</w:t>
      </w:r>
    </w:p>
    <w:p>
      <w:pPr>
        <w:spacing w:line="360" w:lineRule="auto"/>
        <w:rPr>
          <w:rFonts w:ascii="宋体" w:hAnsi="宋体" w:cs="宋体"/>
          <w:sz w:val="24"/>
        </w:rPr>
      </w:pPr>
      <w:r>
        <w:rPr>
          <w:rFonts w:hint="eastAsia" w:ascii="宋体" w:hAnsi="宋体" w:cs="宋体"/>
          <w:sz w:val="24"/>
        </w:rPr>
        <w:t>致：中山市小榄人民医院</w:t>
      </w:r>
    </w:p>
    <w:p>
      <w:pPr>
        <w:widowControl/>
        <w:spacing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同志，为我方签订经济合同及办理其他事务代理人，其权限是：</w:t>
      </w:r>
      <w:r>
        <w:rPr>
          <w:rFonts w:hint="eastAsia" w:ascii="宋体" w:hAnsi="宋体"/>
          <w:sz w:val="24"/>
          <w:u w:val="single"/>
        </w:rPr>
        <w:t xml:space="preserve">                                                   </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 xml:space="preserve">授权单位（盖章）：  </w:t>
      </w:r>
    </w:p>
    <w:p>
      <w:pPr>
        <w:widowControl/>
        <w:spacing w:line="360" w:lineRule="auto"/>
        <w:ind w:firstLine="480" w:firstLineChars="200"/>
        <w:rPr>
          <w:rFonts w:ascii="宋体" w:hAnsi="宋体"/>
          <w:sz w:val="24"/>
        </w:rPr>
      </w:pPr>
      <w:r>
        <w:rPr>
          <w:rFonts w:hint="eastAsia" w:ascii="宋体" w:hAnsi="宋体" w:cs="宋体"/>
          <w:sz w:val="24"/>
        </w:rPr>
        <w:t>法定代表人</w:t>
      </w:r>
      <w:r>
        <w:rPr>
          <w:rFonts w:hint="eastAsia" w:ascii="宋体" w:hAnsi="宋体"/>
          <w:sz w:val="24"/>
        </w:rPr>
        <w:t>（签名或盖私章）：</w:t>
      </w:r>
    </w:p>
    <w:p>
      <w:pPr>
        <w:widowControl/>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line="360" w:lineRule="auto"/>
        <w:ind w:firstLine="480" w:firstLineChars="200"/>
        <w:rPr>
          <w:rFonts w:ascii="宋体" w:hAnsi="宋体"/>
          <w:sz w:val="24"/>
        </w:rPr>
      </w:pPr>
      <w:r>
        <w:rPr>
          <w:rFonts w:hint="eastAsia" w:ascii="宋体" w:hAnsi="宋体"/>
          <w:sz w:val="24"/>
        </w:rPr>
        <w:t>附：代理人性别：        年龄：       职务：         身份证号码：</w:t>
      </w:r>
    </w:p>
    <w:p>
      <w:pPr>
        <w:widowControl/>
        <w:spacing w:line="360" w:lineRule="auto"/>
        <w:ind w:firstLine="480" w:firstLineChars="200"/>
        <w:rPr>
          <w:rFonts w:ascii="宋体" w:hAnsi="宋体"/>
          <w:sz w:val="24"/>
        </w:rPr>
      </w:pPr>
      <w:r>
        <w:rPr>
          <w:rFonts w:hint="eastAsia" w:ascii="宋体" w:hAnsi="宋体"/>
          <w:sz w:val="24"/>
        </w:rPr>
        <w:t>联系电话：</w:t>
      </w:r>
    </w:p>
    <w:p>
      <w:pPr>
        <w:spacing w:line="360" w:lineRule="auto"/>
        <w:ind w:firstLine="480" w:firstLineChars="200"/>
        <w:rPr>
          <w:rFonts w:ascii="宋体" w:hAnsi="宋体" w:cs="宋体"/>
          <w:sz w:val="24"/>
        </w:rPr>
      </w:pPr>
      <w:r>
        <w:rPr>
          <w:rFonts w:hint="eastAsia" w:ascii="宋体" w:hAnsi="宋体"/>
          <w:sz w:val="24"/>
        </w:rPr>
        <w:t>统一社会信用代码：</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ind w:firstLine="720" w:firstLineChars="300"/>
        <w:rPr>
          <w:rFonts w:ascii="宋体" w:hAnsi="宋体" w:cs="宋体"/>
          <w:sz w:val="24"/>
        </w:rPr>
      </w:pPr>
      <w:r>
        <w:rPr>
          <w:rFonts w:hint="eastAsia" w:ascii="宋体" w:hAnsi="宋体"/>
          <w:sz w:val="24"/>
        </w:rPr>
        <w:t>2、此处所述“法定代表人”，须与供应商“营业执照”上的内容一致。</w:t>
      </w:r>
    </w:p>
    <w:p>
      <w:pPr>
        <w:spacing w:line="360" w:lineRule="auto"/>
        <w:rPr>
          <w:rFonts w:ascii="宋体" w:hAnsi="宋体" w:cs="宋体"/>
          <w:sz w:val="24"/>
        </w:rPr>
      </w:pPr>
      <w:r>
        <w:rPr>
          <w:rFonts w:hint="eastAsia" w:ascii="宋体" w:hAnsi="宋体" w:cs="宋体"/>
          <w:sz w:val="24"/>
        </w:rPr>
        <w:t xml:space="preserve">      3、内容必须填写真实、清楚、涂改无效，不得转让、买卖。</w:t>
      </w:r>
    </w:p>
    <w:p>
      <w:pPr>
        <w:spacing w:line="360" w:lineRule="auto"/>
        <w:ind w:firstLine="720" w:firstLineChars="300"/>
        <w:rPr>
          <w:rFonts w:ascii="宋体" w:hAnsi="宋体" w:cs="宋体"/>
          <w:sz w:val="24"/>
        </w:rPr>
      </w:pPr>
      <w:r>
        <w:rPr>
          <w:rFonts w:hint="eastAsia" w:ascii="宋体" w:hAnsi="宋体" w:cs="宋体"/>
          <w:sz w:val="24"/>
        </w:rPr>
        <w:t>4、将此证明书提交对方作为合同附件。</w:t>
      </w:r>
    </w:p>
    <w:p>
      <w:pPr>
        <w:spacing w:line="360" w:lineRule="auto"/>
        <w:ind w:firstLine="720" w:firstLineChars="300"/>
        <w:rPr>
          <w:rFonts w:ascii="宋体" w:hAnsi="宋体" w:cs="宋体"/>
          <w:sz w:val="24"/>
        </w:rPr>
      </w:pPr>
      <w:r>
        <w:rPr>
          <w:rFonts w:hint="eastAsia" w:ascii="宋体" w:hAnsi="宋体" w:cs="宋体"/>
          <w:sz w:val="24"/>
        </w:rPr>
        <w:t>5、授权权限：全权代表本公司参与上述采购项目的报价，负责提供与签署确认一切文书资料，以及向贵方递交的任何补充承诺。</w:t>
      </w:r>
    </w:p>
    <w:p>
      <w:pPr>
        <w:spacing w:line="360" w:lineRule="auto"/>
        <w:ind w:firstLine="736" w:firstLineChars="307"/>
        <w:rPr>
          <w:rFonts w:ascii="宋体" w:hAnsi="宋体" w:cs="宋体"/>
          <w:sz w:val="24"/>
        </w:rPr>
      </w:pPr>
      <w:r>
        <w:rPr>
          <w:rFonts w:hint="eastAsia" w:ascii="宋体" w:hAnsi="宋体" w:cs="宋体"/>
          <w:sz w:val="24"/>
        </w:rPr>
        <w:t>6、签字代表为法定代表人，则本表不适用。</w:t>
      </w:r>
    </w:p>
    <w:p>
      <w:pPr>
        <w:pStyle w:val="3"/>
        <w:ind w:firstLine="720" w:firstLineChars="300"/>
        <w:rPr>
          <w:rFonts w:ascii="宋体" w:hAnsi="宋体" w:cs="宋体"/>
          <w:sz w:val="24"/>
          <w:szCs w:val="24"/>
        </w:rPr>
      </w:pPr>
      <w:r>
        <w:rPr>
          <w:rFonts w:hint="eastAsia" w:ascii="宋体" w:hAnsi="宋体" w:cs="宋体"/>
          <w:sz w:val="24"/>
          <w:szCs w:val="24"/>
        </w:rPr>
        <w:t>7、身份证复印件或扫描件须在有效期内。</w:t>
      </w:r>
    </w:p>
    <w:p>
      <w:pPr>
        <w:spacing w:line="360" w:lineRule="auto"/>
        <w:ind w:firstLine="736" w:firstLineChars="307"/>
        <w:rPr>
          <w:szCs w:val="21"/>
        </w:rPr>
      </w:pPr>
      <w:r>
        <w:rPr>
          <w:rFonts w:hint="eastAsia" w:ascii="宋体" w:hAnsi="宋体" w:cs="宋体"/>
          <w:sz w:val="24"/>
        </w:rPr>
        <w:t>8、有效</w:t>
      </w:r>
      <w:r>
        <w:rPr>
          <w:rFonts w:hint="eastAsia" w:ascii="宋体" w:hAnsi="宋体"/>
          <w:sz w:val="24"/>
        </w:rPr>
        <w:t>期限：与本公司报价文件中标注的投标有效期相同，自本单位盖公章之日起生效。</w:t>
      </w:r>
    </w:p>
    <w:p>
      <w:pPr>
        <w:spacing w:line="360" w:lineRule="auto"/>
        <w:jc w:val="center"/>
        <w:rPr>
          <w:rFonts w:ascii="宋体" w:hAnsi="宋体" w:cs="宋体"/>
          <w:bCs/>
          <w:sz w:val="24"/>
        </w:rPr>
      </w:pPr>
      <w:r>
        <w:rPr>
          <w:rFonts w:ascii="宋体" w:hAnsi="宋体" w:cs="宋体"/>
          <w:szCs w:val="21"/>
        </w:rPr>
        <mc:AlternateContent>
          <mc:Choice Requires="wps">
            <w:drawing>
              <wp:inline distT="0" distB="0" distL="114300" distR="114300">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au/O1QAAAAUBAAAPAAAAAAAAAAEAIAAAACIAAABkcnMvZG93bnJldi54bWxQ&#10;SwECFAAUAAAACACHTuJAOq9Tu2wCAAC6BAAADgAAAAAAAAABACAAAAAkAQAAZHJzL2Uyb0RvYy54&#10;bWxQSwUGAAAAAAYABgBZAQAAAgY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v:textbox>
                <w10:wrap type="none"/>
                <w10:anchorlock/>
              </v:shape>
            </w:pict>
          </mc:Fallback>
        </mc:AlternateContent>
      </w:r>
    </w:p>
    <w:p>
      <w:pPr>
        <w:pStyle w:val="26"/>
        <w:tabs>
          <w:tab w:val="left" w:pos="0"/>
        </w:tabs>
        <w:adjustRightInd w:val="0"/>
        <w:snapToGrid w:val="0"/>
        <w:spacing w:line="420" w:lineRule="exact"/>
        <w:rPr>
          <w:rFonts w:hAnsi="宋体" w:cs="宋体"/>
          <w:b/>
          <w:sz w:val="24"/>
          <w:szCs w:val="24"/>
        </w:rPr>
      </w:pPr>
      <w:r>
        <w:rPr>
          <w:rFonts w:hint="eastAsia" w:hAnsi="宋体" w:cs="宋体"/>
          <w:b/>
          <w:sz w:val="24"/>
          <w:szCs w:val="24"/>
        </w:rPr>
        <w:t>（4）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8"/>
        <w:tabs>
          <w:tab w:val="center" w:pos="4450"/>
          <w:tab w:val="left" w:pos="6396"/>
        </w:tabs>
        <w:jc w:val="center"/>
        <w:rPr>
          <w:rFonts w:ascii="宋体" w:hAnsi="宋体" w:cs="宋体"/>
        </w:rPr>
      </w:pPr>
    </w:p>
    <w:p>
      <w:pPr>
        <w:pStyle w:val="8"/>
        <w:tabs>
          <w:tab w:val="center" w:pos="4450"/>
          <w:tab w:val="left" w:pos="6396"/>
        </w:tabs>
        <w:jc w:val="center"/>
        <w:rPr>
          <w:rFonts w:ascii="宋体" w:hAnsi="宋体" w:cs="宋体"/>
        </w:rPr>
      </w:pPr>
      <w:r>
        <w:rPr>
          <w:rFonts w:hint="eastAsia" w:ascii="宋体" w:hAnsi="宋体" w:cs="宋体"/>
        </w:rPr>
        <w:t>无围标、串标行为声明函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谈判项目采购活动中，无以下围标、串标行为。</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不同供应商的报价文件由同一单位或者个人编制；</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不同供应商委托同一单位或者个人办理响应事宜；</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不同供应商的报价文件载明的项目管理成员或者联系人员为同一人；</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不同供应商的报价文件异常一致或者响应报价呈规律性差异；</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不同供应商的报价文件相互混装；</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不同供应商的董事、监事、高管、单位负责人为同一人或者存在控股、管理关系的不同单位参加同一包组项目；</w:t>
      </w:r>
    </w:p>
    <w:p>
      <w:pPr>
        <w:numPr>
          <w:ilvl w:val="0"/>
          <w:numId w:val="5"/>
        </w:numPr>
        <w:spacing w:line="360" w:lineRule="auto"/>
        <w:ind w:left="420" w:leftChars="200"/>
        <w:rPr>
          <w:rFonts w:ascii="宋体" w:hAnsi="宋体" w:cs="宋体"/>
          <w:sz w:val="24"/>
        </w:rPr>
      </w:pPr>
      <w:r>
        <w:rPr>
          <w:rFonts w:hint="eastAsia" w:ascii="宋体" w:hAnsi="宋体" w:cs="宋体"/>
          <w:sz w:val="24"/>
        </w:rPr>
        <w:t>法律法规界定的其他围标串标行为；</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如有发现我公司存在围标、串标行为，我公司愿承担一切法律责任。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8"/>
        <w:tabs>
          <w:tab w:val="center" w:pos="4450"/>
          <w:tab w:val="left" w:pos="6396"/>
        </w:tabs>
        <w:jc w:val="center"/>
        <w:rPr>
          <w:rFonts w:ascii="宋体" w:hAnsi="宋体" w:cs="宋体"/>
        </w:rPr>
      </w:pPr>
      <w:r>
        <w:rPr>
          <w:rFonts w:hint="eastAsia" w:ascii="宋体" w:hAnsi="宋体" w:cs="宋体"/>
        </w:rPr>
        <w:t>无关联关系声明函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谈判项目采购活动中，与其他投标单位和</w:t>
      </w:r>
      <w:r>
        <w:rPr>
          <w:rStyle w:val="54"/>
          <w:rFonts w:hint="eastAsia" w:ascii="宋体" w:hAnsi="宋体" w:cs="宋体"/>
          <w:b w:val="0"/>
          <w:bCs w:val="0"/>
          <w:spacing w:val="0"/>
          <w:sz w:val="27"/>
          <w:szCs w:val="27"/>
          <w:shd w:val="clear" w:color="auto" w:fill="FFFFFF"/>
        </w:rPr>
        <w:t>在法律、财务上与项目经办人不存在关联关系</w:t>
      </w:r>
      <w:r>
        <w:rPr>
          <w:rFonts w:hint="eastAsia" w:ascii="宋体" w:hAnsi="宋体" w:cs="宋体"/>
          <w:sz w:val="24"/>
        </w:rPr>
        <w:t>。</w:t>
      </w:r>
      <w:r>
        <w:rPr>
          <w:rFonts w:ascii="宋体" w:hAnsi="宋体" w:cs="宋体"/>
          <w:sz w:val="24"/>
        </w:rPr>
        <w:t xml:space="preserve"> </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如有发现我公司与其他投标单位和</w:t>
      </w:r>
      <w:r>
        <w:rPr>
          <w:rStyle w:val="54"/>
          <w:rFonts w:hint="eastAsia" w:ascii="宋体" w:hAnsi="宋体" w:cs="宋体"/>
          <w:b w:val="0"/>
          <w:bCs w:val="0"/>
          <w:spacing w:val="0"/>
          <w:sz w:val="27"/>
          <w:szCs w:val="27"/>
          <w:shd w:val="clear" w:color="auto" w:fill="FFFFFF"/>
        </w:rPr>
        <w:t>在法律、财务上与项目经办人存在关联关系</w:t>
      </w:r>
      <w:r>
        <w:rPr>
          <w:rFonts w:hint="eastAsia" w:ascii="宋体" w:hAnsi="宋体" w:cs="宋体"/>
          <w:sz w:val="24"/>
        </w:rPr>
        <w:t>，我公司愿承担一切法律责任。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（5）厂家资质证件（包括但不限于营业执照、医疗器械生产许可证等）</w:t>
      </w:r>
    </w:p>
    <w:p>
      <w:pPr>
        <w:rPr>
          <w:rFonts w:ascii="宋体" w:hAnsi="宋体" w:cs="宋体"/>
          <w:sz w:val="24"/>
        </w:rPr>
      </w:pPr>
      <w:r>
        <w:rPr>
          <w:rFonts w:hint="eastAsia" w:ascii="宋体" w:hAnsi="宋体" w:cs="宋体"/>
          <w:sz w:val="24"/>
        </w:rP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（6）各级经销商资质证件（包括但不限于营业执照、医疗器械经营许可证、备案等）</w:t>
      </w:r>
    </w:p>
    <w:p>
      <w:pPr>
        <w:rPr>
          <w:rFonts w:ascii="宋体" w:hAnsi="宋体" w:cs="宋体"/>
          <w:sz w:val="24"/>
        </w:rPr>
      </w:pPr>
      <w:r>
        <w:rPr>
          <w:rFonts w:hint="eastAsia" w:ascii="宋体" w:hAnsi="宋体" w:cs="宋体"/>
          <w:sz w:val="24"/>
        </w:rPr>
        <w:br w:type="page"/>
      </w:r>
    </w:p>
    <w:p>
      <w:pPr>
        <w:jc w:val="left"/>
        <w:rPr>
          <w:rFonts w:ascii="宋体" w:hAnsi="宋体" w:cs="宋体"/>
          <w:b/>
          <w:bCs/>
          <w:sz w:val="24"/>
        </w:rPr>
        <w:sectPr>
          <w:headerReference r:id="rId4" w:type="default"/>
          <w:footerReference r:id="rId5" w:type="default"/>
          <w:pgSz w:w="11907" w:h="16840"/>
          <w:pgMar w:top="1418" w:right="1418" w:bottom="1418" w:left="1418" w:header="567" w:footer="748" w:gutter="0"/>
          <w:cols w:space="720" w:num="1"/>
          <w:docGrid w:linePitch="312" w:charSpace="0"/>
        </w:sectPr>
      </w:pPr>
      <w:r>
        <w:rPr>
          <w:rFonts w:hint="eastAsia" w:ascii="宋体" w:hAnsi="宋体" w:cs="宋体"/>
          <w:b/>
          <w:bCs/>
          <w:sz w:val="24"/>
        </w:rPr>
        <w:t>（7）售后服务承诺</w:t>
      </w:r>
    </w:p>
    <w:p>
      <w:pPr>
        <w:jc w:val="left"/>
        <w:rPr>
          <w:rFonts w:ascii="宋体" w:hAnsi="宋体" w:cs="宋体"/>
          <w:b/>
          <w:bCs/>
          <w:sz w:val="24"/>
        </w:rPr>
      </w:pPr>
      <w:r>
        <w:rPr>
          <w:rFonts w:hint="eastAsia" w:ascii="宋体" w:hAnsi="宋体" w:cs="宋体"/>
          <w:b/>
          <w:bCs/>
          <w:sz w:val="24"/>
        </w:rPr>
        <w:t>（8）项目实施方案</w:t>
      </w:r>
      <w:r>
        <w:rPr>
          <w:rFonts w:hint="eastAsia" w:ascii="宋体" w:hAnsi="宋体" w:cs="宋体"/>
          <w:b/>
          <w:bCs/>
          <w:sz w:val="24"/>
        </w:rPr>
        <w:tab/>
      </w:r>
    </w:p>
    <w:p>
      <w:pPr>
        <w:rPr>
          <w:rFonts w:ascii="宋体" w:hAnsi="宋体" w:cs="宋体"/>
          <w:sz w:val="24"/>
        </w:rPr>
      </w:pPr>
      <w:r>
        <w:rPr>
          <w:rFonts w:hint="eastAsia" w:ascii="宋体" w:hAnsi="宋体" w:cs="宋体"/>
          <w:sz w:val="24"/>
        </w:rPr>
        <w:br w:type="page"/>
      </w:r>
    </w:p>
    <w:p>
      <w:pPr>
        <w:pStyle w:val="26"/>
        <w:tabs>
          <w:tab w:val="left" w:pos="0"/>
          <w:tab w:val="left" w:pos="420"/>
        </w:tabs>
        <w:adjustRightInd w:val="0"/>
        <w:snapToGrid w:val="0"/>
        <w:spacing w:line="360" w:lineRule="auto"/>
        <w:rPr>
          <w:rFonts w:hAnsi="宋体" w:cs="宋体"/>
          <w:b/>
          <w:bCs/>
          <w:sz w:val="24"/>
          <w:szCs w:val="24"/>
        </w:rPr>
      </w:pPr>
      <w:r>
        <w:rPr>
          <w:rFonts w:hint="eastAsia" w:hAnsi="宋体" w:cs="宋体"/>
          <w:b/>
          <w:bCs/>
          <w:sz w:val="24"/>
          <w:szCs w:val="24"/>
        </w:rPr>
        <w:t>（9）201</w:t>
      </w:r>
      <w:r>
        <w:rPr>
          <w:rFonts w:hint="eastAsia" w:hAnsi="宋体" w:cs="宋体"/>
          <w:b/>
          <w:bCs/>
          <w:sz w:val="24"/>
          <w:szCs w:val="24"/>
          <w:lang w:val="en-US" w:eastAsia="zh-CN"/>
        </w:rPr>
        <w:t>9</w:t>
      </w:r>
      <w:r>
        <w:rPr>
          <w:rFonts w:hint="eastAsia" w:hAnsi="宋体" w:cs="宋体"/>
          <w:b/>
          <w:bCs/>
          <w:sz w:val="24"/>
          <w:szCs w:val="24"/>
        </w:rPr>
        <w:t>年至今同类项目合同复印件</w:t>
      </w:r>
    </w:p>
    <w:p>
      <w:pPr>
        <w:pStyle w:val="26"/>
        <w:tabs>
          <w:tab w:val="left" w:pos="0"/>
        </w:tabs>
        <w:adjustRightInd w:val="0"/>
        <w:snapToGrid w:val="0"/>
        <w:spacing w:line="420" w:lineRule="exact"/>
        <w:rPr>
          <w:rFonts w:hAnsi="宋体" w:cs="宋体"/>
          <w:sz w:val="24"/>
          <w:szCs w:val="24"/>
        </w:rPr>
      </w:pPr>
    </w:p>
    <w:sectPr>
      <w:pgSz w:w="11907" w:h="16840"/>
      <w:pgMar w:top="1418" w:right="1418" w:bottom="1418" w:left="1418" w:header="567" w:footer="74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3</w:t>
    </w:r>
    <w:r>
      <w:fldChar w:fldCharType="end"/>
    </w:r>
  </w:p>
  <w:p>
    <w:pPr>
      <w:pStyle w:val="31"/>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tabs>
        <w:tab w:val="left" w:pos="7133"/>
        <w:tab w:val="clear" w:pos="8306"/>
      </w:tabs>
      <w:jc w:val="left"/>
      <w:rPr>
        <w:rFonts w:ascii="宋体" w:hAnsi="宋体"/>
        <w:bCs/>
        <w:highlight w:val="yellow"/>
        <w:u w:val="single"/>
      </w:rPr>
    </w:pPr>
    <w:r>
      <w:rPr>
        <w:rFonts w:hint="eastAsia" w:ascii="宋体" w:hAnsi="宋体"/>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CE8F3975"/>
    <w:multiLevelType w:val="singleLevel"/>
    <w:tmpl w:val="CE8F3975"/>
    <w:lvl w:ilvl="0" w:tentative="0">
      <w:start w:val="1"/>
      <w:numFmt w:val="chineseCounting"/>
      <w:suff w:val="nothing"/>
      <w:lvlText w:val="%1、"/>
      <w:lvlJc w:val="left"/>
      <w:pPr>
        <w:ind w:left="0" w:firstLine="420"/>
      </w:pPr>
      <w:rPr>
        <w:rFonts w:hint="eastAsia" w:ascii="仿宋_GB2312" w:hAnsi="仿宋_GB2312" w:eastAsia="仿宋_GB2312" w:cs="仿宋_GB2312"/>
        <w:sz w:val="28"/>
        <w:szCs w:val="28"/>
      </w:rPr>
    </w:lvl>
  </w:abstractNum>
  <w:abstractNum w:abstractNumId="2">
    <w:nsid w:val="D74D7279"/>
    <w:multiLevelType w:val="singleLevel"/>
    <w:tmpl w:val="D74D7279"/>
    <w:lvl w:ilvl="0" w:tentative="0">
      <w:start w:val="1"/>
      <w:numFmt w:val="decimal"/>
      <w:lvlText w:val="%1."/>
      <w:lvlJc w:val="left"/>
      <w:pPr>
        <w:ind w:left="425" w:hanging="425"/>
      </w:pPr>
      <w:rPr>
        <w:rFonts w:hint="default"/>
      </w:rPr>
    </w:lvl>
  </w:abstractNum>
  <w:abstractNum w:abstractNumId="3">
    <w:nsid w:val="4433B09C"/>
    <w:multiLevelType w:val="singleLevel"/>
    <w:tmpl w:val="4433B09C"/>
    <w:lvl w:ilvl="0" w:tentative="0">
      <w:start w:val="1"/>
      <w:numFmt w:val="decimal"/>
      <w:lvlText w:val="%1."/>
      <w:lvlJc w:val="left"/>
      <w:pPr>
        <w:ind w:left="425" w:hanging="425"/>
      </w:pPr>
      <w:rPr>
        <w:rFonts w:hint="default"/>
      </w:rPr>
    </w:lvl>
  </w:abstractNum>
  <w:abstractNum w:abstractNumId="4">
    <w:nsid w:val="6FEF5E58"/>
    <w:multiLevelType w:val="singleLevel"/>
    <w:tmpl w:val="6FEF5E58"/>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0E1"/>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380A"/>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125B"/>
    <w:rsid w:val="003B22E5"/>
    <w:rsid w:val="003B347E"/>
    <w:rsid w:val="003B37ED"/>
    <w:rsid w:val="003B7278"/>
    <w:rsid w:val="003C0FA3"/>
    <w:rsid w:val="003C1DB0"/>
    <w:rsid w:val="003C4DBC"/>
    <w:rsid w:val="003C6B39"/>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2FF3"/>
    <w:rsid w:val="004147DE"/>
    <w:rsid w:val="004149B0"/>
    <w:rsid w:val="00416822"/>
    <w:rsid w:val="00416A23"/>
    <w:rsid w:val="00420198"/>
    <w:rsid w:val="00420356"/>
    <w:rsid w:val="00421828"/>
    <w:rsid w:val="00421A12"/>
    <w:rsid w:val="00421F27"/>
    <w:rsid w:val="00424B8E"/>
    <w:rsid w:val="00425950"/>
    <w:rsid w:val="0042604E"/>
    <w:rsid w:val="004260C3"/>
    <w:rsid w:val="004317B9"/>
    <w:rsid w:val="0043585F"/>
    <w:rsid w:val="00436438"/>
    <w:rsid w:val="00442819"/>
    <w:rsid w:val="004428B6"/>
    <w:rsid w:val="004449CD"/>
    <w:rsid w:val="0044552C"/>
    <w:rsid w:val="0045170B"/>
    <w:rsid w:val="0045224A"/>
    <w:rsid w:val="00457BF1"/>
    <w:rsid w:val="00457EAC"/>
    <w:rsid w:val="00460072"/>
    <w:rsid w:val="00460679"/>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3FFA"/>
    <w:rsid w:val="004C6047"/>
    <w:rsid w:val="004C6275"/>
    <w:rsid w:val="004C6DCC"/>
    <w:rsid w:val="004D04C0"/>
    <w:rsid w:val="004D13B4"/>
    <w:rsid w:val="004D1F23"/>
    <w:rsid w:val="004D3D52"/>
    <w:rsid w:val="004D530A"/>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06461"/>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6138"/>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28D4"/>
    <w:rsid w:val="00605F56"/>
    <w:rsid w:val="00606D97"/>
    <w:rsid w:val="00606F56"/>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3B9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1E41"/>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00F"/>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57860"/>
    <w:rsid w:val="00B605D0"/>
    <w:rsid w:val="00B6270A"/>
    <w:rsid w:val="00B627E6"/>
    <w:rsid w:val="00B65722"/>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97E45"/>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39C5"/>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4C89"/>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48DA"/>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3666"/>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272"/>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320F"/>
    <w:rsid w:val="00EA46D2"/>
    <w:rsid w:val="00EA49A1"/>
    <w:rsid w:val="00EA53C1"/>
    <w:rsid w:val="00EA6B6E"/>
    <w:rsid w:val="00EB1C7A"/>
    <w:rsid w:val="00EB1C9C"/>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6E85"/>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13302C"/>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375C"/>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451D4"/>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A377A3"/>
    <w:rsid w:val="36CC1A47"/>
    <w:rsid w:val="36CC6949"/>
    <w:rsid w:val="36D36BD5"/>
    <w:rsid w:val="371279B3"/>
    <w:rsid w:val="37133557"/>
    <w:rsid w:val="37212DBB"/>
    <w:rsid w:val="37461E38"/>
    <w:rsid w:val="37493D16"/>
    <w:rsid w:val="374F61B4"/>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D72641"/>
    <w:rsid w:val="57DF49B0"/>
    <w:rsid w:val="57E871CE"/>
    <w:rsid w:val="57F36B56"/>
    <w:rsid w:val="58001151"/>
    <w:rsid w:val="580F7EE2"/>
    <w:rsid w:val="58165ED4"/>
    <w:rsid w:val="582E2F97"/>
    <w:rsid w:val="583E7D0E"/>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A64D1"/>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539FB"/>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2"/>
    <w:qFormat/>
    <w:uiPriority w:val="0"/>
    <w:pPr>
      <w:keepNext/>
      <w:keepLines/>
      <w:spacing w:line="578" w:lineRule="auto"/>
      <w:outlineLvl w:val="0"/>
    </w:pPr>
    <w:rPr>
      <w:b/>
      <w:bCs/>
      <w:kern w:val="44"/>
      <w:sz w:val="44"/>
      <w:szCs w:val="44"/>
    </w:rPr>
  </w:style>
  <w:style w:type="paragraph" w:styleId="6">
    <w:name w:val="heading 2"/>
    <w:basedOn w:val="1"/>
    <w:next w:val="7"/>
    <w:link w:val="63"/>
    <w:qFormat/>
    <w:uiPriority w:val="0"/>
    <w:pPr>
      <w:keepNext/>
      <w:keepLines/>
      <w:spacing w:line="416" w:lineRule="auto"/>
      <w:outlineLvl w:val="1"/>
    </w:pPr>
    <w:rPr>
      <w:rFonts w:ascii="Arial" w:hAnsi="Arial" w:eastAsia="黑体"/>
      <w:b/>
      <w:bCs/>
      <w:sz w:val="32"/>
      <w:szCs w:val="32"/>
    </w:rPr>
  </w:style>
  <w:style w:type="paragraph" w:styleId="8">
    <w:name w:val="heading 3"/>
    <w:basedOn w:val="1"/>
    <w:next w:val="1"/>
    <w:link w:val="65"/>
    <w:qFormat/>
    <w:uiPriority w:val="0"/>
    <w:pPr>
      <w:keepNext/>
      <w:keepLines/>
      <w:spacing w:line="416" w:lineRule="auto"/>
      <w:outlineLvl w:val="2"/>
    </w:pPr>
    <w:rPr>
      <w:b/>
      <w:bCs/>
      <w:sz w:val="32"/>
      <w:szCs w:val="32"/>
    </w:rPr>
  </w:style>
  <w:style w:type="paragraph" w:styleId="9">
    <w:name w:val="heading 4"/>
    <w:basedOn w:val="1"/>
    <w:next w:val="1"/>
    <w:link w:val="66"/>
    <w:qFormat/>
    <w:uiPriority w:val="0"/>
    <w:pPr>
      <w:keepNext/>
      <w:keepLines/>
      <w:spacing w:line="376" w:lineRule="auto"/>
      <w:outlineLvl w:val="3"/>
    </w:pPr>
    <w:rPr>
      <w:rFonts w:ascii="Arial" w:hAnsi="Arial" w:eastAsia="黑体"/>
      <w:b/>
      <w:bCs/>
      <w:sz w:val="28"/>
      <w:szCs w:val="28"/>
    </w:rPr>
  </w:style>
  <w:style w:type="paragraph" w:styleId="10">
    <w:name w:val="heading 5"/>
    <w:basedOn w:val="1"/>
    <w:next w:val="7"/>
    <w:link w:val="67"/>
    <w:qFormat/>
    <w:uiPriority w:val="0"/>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11">
    <w:name w:val="heading 6"/>
    <w:basedOn w:val="1"/>
    <w:next w:val="7"/>
    <w:link w:val="68"/>
    <w:qFormat/>
    <w:uiPriority w:val="0"/>
    <w:pPr>
      <w:keepNext/>
      <w:tabs>
        <w:tab w:val="left" w:pos="1152"/>
      </w:tabs>
      <w:autoSpaceDE w:val="0"/>
      <w:autoSpaceDN w:val="0"/>
      <w:adjustRightInd w:val="0"/>
      <w:snapToGrid w:val="0"/>
      <w:spacing w:line="320" w:lineRule="auto"/>
      <w:ind w:left="1152" w:hanging="1152"/>
      <w:outlineLvl w:val="5"/>
    </w:pPr>
    <w:rPr>
      <w:rFonts w:ascii="Arial" w:hAnsi="Arial" w:eastAsia="黑体"/>
      <w:b/>
      <w:snapToGrid w:val="0"/>
      <w:color w:val="000000"/>
      <w:kern w:val="0"/>
      <w:sz w:val="24"/>
      <w:szCs w:val="20"/>
    </w:rPr>
  </w:style>
  <w:style w:type="paragraph" w:styleId="12">
    <w:name w:val="heading 7"/>
    <w:basedOn w:val="1"/>
    <w:next w:val="7"/>
    <w:link w:val="69"/>
    <w:qFormat/>
    <w:uiPriority w:val="0"/>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13">
    <w:name w:val="heading 8"/>
    <w:basedOn w:val="1"/>
    <w:next w:val="7"/>
    <w:link w:val="70"/>
    <w:qFormat/>
    <w:uiPriority w:val="0"/>
    <w:pPr>
      <w:keepNext/>
      <w:tabs>
        <w:tab w:val="left" w:pos="1440"/>
      </w:tabs>
      <w:autoSpaceDE w:val="0"/>
      <w:autoSpaceDN w:val="0"/>
      <w:adjustRightInd w:val="0"/>
      <w:snapToGrid w:val="0"/>
      <w:spacing w:line="320" w:lineRule="auto"/>
      <w:ind w:left="1440" w:hanging="1440"/>
      <w:outlineLvl w:val="7"/>
    </w:pPr>
    <w:rPr>
      <w:rFonts w:ascii="Arial" w:hAnsi="Arial" w:eastAsia="黑体"/>
      <w:snapToGrid w:val="0"/>
      <w:color w:val="000000"/>
      <w:kern w:val="0"/>
      <w:sz w:val="24"/>
      <w:szCs w:val="20"/>
    </w:rPr>
  </w:style>
  <w:style w:type="paragraph" w:styleId="14">
    <w:name w:val="heading 9"/>
    <w:basedOn w:val="1"/>
    <w:next w:val="7"/>
    <w:link w:val="71"/>
    <w:qFormat/>
    <w:uiPriority w:val="0"/>
    <w:pPr>
      <w:keepNext/>
      <w:tabs>
        <w:tab w:val="left" w:pos="1584"/>
      </w:tabs>
      <w:autoSpaceDE w:val="0"/>
      <w:autoSpaceDN w:val="0"/>
      <w:adjustRightInd w:val="0"/>
      <w:snapToGrid w:val="0"/>
      <w:spacing w:line="320" w:lineRule="auto"/>
      <w:ind w:left="1584" w:hanging="1584"/>
      <w:outlineLvl w:val="8"/>
    </w:pPr>
    <w:rPr>
      <w:rFonts w:ascii="Arial" w:hAnsi="Arial" w:eastAsia="黑体"/>
      <w:snapToGrid w:val="0"/>
      <w:color w:val="000000"/>
      <w:kern w:val="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240" w:lineRule="auto"/>
      <w:ind w:firstLine="420" w:firstLineChars="100"/>
    </w:pPr>
    <w:rPr>
      <w:szCs w:val="24"/>
    </w:rPr>
  </w:style>
  <w:style w:type="paragraph" w:styleId="3">
    <w:name w:val="Body Text"/>
    <w:basedOn w:val="1"/>
    <w:next w:val="4"/>
    <w:qFormat/>
    <w:uiPriority w:val="0"/>
    <w:pPr>
      <w:spacing w:line="360" w:lineRule="auto"/>
    </w:pPr>
    <w:rPr>
      <w:szCs w:val="20"/>
    </w:rPr>
  </w:style>
  <w:style w:type="paragraph" w:styleId="4">
    <w:name w:val="toc 5"/>
    <w:basedOn w:val="1"/>
    <w:next w:val="1"/>
    <w:qFormat/>
    <w:uiPriority w:val="0"/>
    <w:pPr>
      <w:ind w:left="840"/>
      <w:jc w:val="left"/>
    </w:pPr>
    <w:rPr>
      <w:rFonts w:ascii="Calibri" w:hAnsi="Calibri"/>
      <w:sz w:val="18"/>
      <w:szCs w:val="18"/>
    </w:rPr>
  </w:style>
  <w:style w:type="paragraph" w:styleId="7">
    <w:name w:val="Normal Indent"/>
    <w:basedOn w:val="1"/>
    <w:link w:val="64"/>
    <w:qFormat/>
    <w:uiPriority w:val="0"/>
    <w:pPr>
      <w:ind w:firstLine="420"/>
    </w:pPr>
    <w:rPr>
      <w:szCs w:val="20"/>
    </w:rPr>
  </w:style>
  <w:style w:type="paragraph" w:styleId="15">
    <w:name w:val="toc 7"/>
    <w:basedOn w:val="1"/>
    <w:next w:val="1"/>
    <w:qFormat/>
    <w:uiPriority w:val="0"/>
    <w:pPr>
      <w:ind w:left="1260"/>
      <w:jc w:val="left"/>
    </w:pPr>
    <w:rPr>
      <w:rFonts w:ascii="Calibri" w:hAnsi="Calibri"/>
      <w:sz w:val="18"/>
      <w:szCs w:val="18"/>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keepNext/>
    </w:pPr>
    <w:rPr>
      <w:sz w:val="18"/>
      <w:szCs w:val="18"/>
    </w:rPr>
  </w:style>
  <w:style w:type="paragraph" w:styleId="18">
    <w:name w:val="Document Map"/>
    <w:basedOn w:val="1"/>
    <w:qFormat/>
    <w:uiPriority w:val="0"/>
    <w:pPr>
      <w:widowControl/>
      <w:shd w:val="clear" w:color="auto" w:fill="000080"/>
      <w:jc w:val="left"/>
    </w:pPr>
    <w:rPr>
      <w:kern w:val="0"/>
      <w:szCs w:val="20"/>
    </w:rPr>
  </w:style>
  <w:style w:type="paragraph" w:styleId="19">
    <w:name w:val="toa heading"/>
    <w:basedOn w:val="1"/>
    <w:next w:val="1"/>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20">
    <w:name w:val="annotation text"/>
    <w:basedOn w:val="1"/>
    <w:link w:val="72"/>
    <w:qFormat/>
    <w:uiPriority w:val="0"/>
    <w:pPr>
      <w:widowControl/>
      <w:jc w:val="left"/>
    </w:pPr>
    <w:rPr>
      <w:kern w:val="0"/>
      <w:szCs w:val="20"/>
    </w:rPr>
  </w:style>
  <w:style w:type="paragraph" w:styleId="21">
    <w:name w:val="Salutation"/>
    <w:basedOn w:val="1"/>
    <w:next w:val="1"/>
    <w:qFormat/>
    <w:uiPriority w:val="0"/>
  </w:style>
  <w:style w:type="paragraph" w:styleId="22">
    <w:name w:val="Body Text 3"/>
    <w:basedOn w:val="1"/>
    <w:qFormat/>
    <w:uiPriority w:val="0"/>
    <w:rPr>
      <w:sz w:val="16"/>
      <w:szCs w:val="16"/>
    </w:rPr>
  </w:style>
  <w:style w:type="paragraph" w:styleId="23">
    <w:name w:val="Body Text Indent"/>
    <w:basedOn w:val="1"/>
    <w:link w:val="73"/>
    <w:qFormat/>
    <w:uiPriority w:val="0"/>
    <w:pPr>
      <w:ind w:firstLine="830" w:firstLineChars="352"/>
    </w:pPr>
    <w:rPr>
      <w:rFonts w:ascii="仿宋_GB2312" w:eastAsia="仿宋_GB2312"/>
      <w:sz w:val="32"/>
      <w:szCs w:val="20"/>
    </w:rPr>
  </w:style>
  <w:style w:type="paragraph" w:styleId="24">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5">
    <w:name w:val="toc 3"/>
    <w:basedOn w:val="1"/>
    <w:next w:val="1"/>
    <w:qFormat/>
    <w:uiPriority w:val="0"/>
    <w:pPr>
      <w:tabs>
        <w:tab w:val="right" w:leader="dot" w:pos="9499"/>
      </w:tabs>
      <w:ind w:left="318" w:hanging="105"/>
    </w:pPr>
    <w:rPr>
      <w:szCs w:val="20"/>
    </w:r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ind w:left="1470"/>
      <w:jc w:val="left"/>
    </w:pPr>
    <w:rPr>
      <w:rFonts w:ascii="Calibri" w:hAnsi="Calibri"/>
      <w:sz w:val="18"/>
      <w:szCs w:val="18"/>
    </w:rPr>
  </w:style>
  <w:style w:type="paragraph" w:styleId="28">
    <w:name w:val="Date"/>
    <w:basedOn w:val="1"/>
    <w:next w:val="1"/>
    <w:qFormat/>
    <w:uiPriority w:val="0"/>
    <w:rPr>
      <w:rFonts w:ascii="楷体_GB2312" w:eastAsia="楷体_GB2312"/>
      <w:sz w:val="28"/>
      <w:szCs w:val="20"/>
    </w:rPr>
  </w:style>
  <w:style w:type="paragraph" w:styleId="29">
    <w:name w:val="Body Text Indent 2"/>
    <w:basedOn w:val="1"/>
    <w:qFormat/>
    <w:uiPriority w:val="0"/>
    <w:pPr>
      <w:spacing w:line="360" w:lineRule="auto"/>
      <w:ind w:firstLine="420"/>
    </w:pPr>
    <w:rPr>
      <w:szCs w:val="20"/>
    </w:rPr>
  </w:style>
  <w:style w:type="paragraph" w:styleId="30">
    <w:name w:val="Balloon Text"/>
    <w:basedOn w:val="1"/>
    <w:link w:val="75"/>
    <w:qFormat/>
    <w:uiPriority w:val="0"/>
    <w:pPr>
      <w:widowControl/>
      <w:jc w:val="left"/>
    </w:pPr>
    <w:rPr>
      <w:kern w:val="0"/>
      <w:sz w:val="18"/>
      <w:szCs w:val="18"/>
    </w:rPr>
  </w:style>
  <w:style w:type="paragraph" w:styleId="31">
    <w:name w:val="footer"/>
    <w:basedOn w:val="1"/>
    <w:link w:val="76"/>
    <w:qFormat/>
    <w:uiPriority w:val="99"/>
    <w:pPr>
      <w:tabs>
        <w:tab w:val="center" w:pos="4153"/>
        <w:tab w:val="right" w:pos="8306"/>
      </w:tabs>
      <w:snapToGrid w:val="0"/>
      <w:jc w:val="left"/>
    </w:pPr>
    <w:rPr>
      <w:sz w:val="18"/>
      <w:szCs w:val="18"/>
    </w:rPr>
  </w:style>
  <w:style w:type="paragraph" w:styleId="32">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3">
    <w:name w:val="Signature"/>
    <w:basedOn w:val="1"/>
    <w:qFormat/>
    <w:uiPriority w:val="0"/>
    <w:pPr>
      <w:ind w:left="4320"/>
    </w:pPr>
    <w:rPr>
      <w:rFonts w:eastAsia="楷体_GB2312"/>
      <w:szCs w:val="20"/>
    </w:rPr>
  </w:style>
  <w:style w:type="paragraph" w:styleId="34">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5">
    <w:name w:val="toc 4"/>
    <w:basedOn w:val="1"/>
    <w:next w:val="1"/>
    <w:qFormat/>
    <w:uiPriority w:val="0"/>
    <w:pPr>
      <w:ind w:left="630"/>
      <w:jc w:val="left"/>
    </w:pPr>
    <w:rPr>
      <w:rFonts w:ascii="Calibri" w:hAnsi="Calibri"/>
      <w:sz w:val="18"/>
      <w:szCs w:val="18"/>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qFormat/>
    <w:uiPriority w:val="0"/>
    <w:pPr>
      <w:adjustRightInd w:val="0"/>
      <w:jc w:val="left"/>
      <w:textAlignment w:val="baseline"/>
    </w:pPr>
    <w:rPr>
      <w:rFonts w:ascii="Arial" w:hAnsi="Arial" w:eastAsia="黑体"/>
      <w:spacing w:val="40"/>
      <w:kern w:val="0"/>
      <w:sz w:val="30"/>
      <w:szCs w:val="20"/>
      <w:u w:val="single"/>
    </w:rPr>
  </w:style>
  <w:style w:type="paragraph" w:styleId="39">
    <w:name w:val="footnote text"/>
    <w:basedOn w:val="1"/>
    <w:unhideWhenUsed/>
    <w:qFormat/>
    <w:uiPriority w:val="99"/>
    <w:pPr>
      <w:snapToGrid w:val="0"/>
      <w:jc w:val="left"/>
    </w:pPr>
    <w:rPr>
      <w:sz w:val="18"/>
      <w:szCs w:val="18"/>
    </w:rPr>
  </w:style>
  <w:style w:type="paragraph" w:styleId="40">
    <w:name w:val="toc 6"/>
    <w:basedOn w:val="1"/>
    <w:next w:val="1"/>
    <w:qFormat/>
    <w:uiPriority w:val="0"/>
    <w:pPr>
      <w:ind w:left="1050"/>
      <w:jc w:val="left"/>
    </w:pPr>
    <w:rPr>
      <w:rFonts w:ascii="Calibri" w:hAnsi="Calibri"/>
      <w:sz w:val="18"/>
      <w:szCs w:val="18"/>
    </w:rPr>
  </w:style>
  <w:style w:type="paragraph" w:styleId="41">
    <w:name w:val="Body Text Indent 3"/>
    <w:basedOn w:val="1"/>
    <w:qFormat/>
    <w:uiPriority w:val="0"/>
    <w:pPr>
      <w:spacing w:line="360" w:lineRule="auto"/>
      <w:ind w:firstLine="420" w:firstLineChars="200"/>
    </w:pPr>
    <w:rPr>
      <w:szCs w:val="20"/>
    </w:rPr>
  </w:style>
  <w:style w:type="paragraph" w:styleId="42">
    <w:name w:val="table of figures"/>
    <w:basedOn w:val="1"/>
    <w:next w:val="1"/>
    <w:qFormat/>
    <w:uiPriority w:val="0"/>
    <w:pPr>
      <w:ind w:left="840" w:leftChars="200" w:hanging="420" w:hangingChars="200"/>
    </w:pPr>
  </w:style>
  <w:style w:type="paragraph" w:styleId="43">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4">
    <w:name w:val="toc 9"/>
    <w:basedOn w:val="1"/>
    <w:next w:val="1"/>
    <w:qFormat/>
    <w:uiPriority w:val="0"/>
    <w:pPr>
      <w:ind w:left="1680"/>
      <w:jc w:val="left"/>
    </w:pPr>
    <w:rPr>
      <w:rFonts w:ascii="Calibri" w:hAnsi="Calibri"/>
      <w:sz w:val="18"/>
      <w:szCs w:val="18"/>
    </w:rPr>
  </w:style>
  <w:style w:type="paragraph" w:styleId="45">
    <w:name w:val="Body Text 2"/>
    <w:basedOn w:val="1"/>
    <w:qFormat/>
    <w:uiPriority w:val="0"/>
    <w:pPr>
      <w:widowControl/>
      <w:spacing w:line="360" w:lineRule="auto"/>
      <w:jc w:val="left"/>
    </w:pPr>
    <w:rPr>
      <w:rFonts w:ascii="宋体" w:hAnsi="宋体"/>
      <w:color w:val="000000"/>
      <w:kern w:val="0"/>
      <w:sz w:val="24"/>
      <w:szCs w:val="20"/>
    </w:rPr>
  </w:style>
  <w:style w:type="paragraph" w:styleId="4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Autospacing="1" w:afterAutospacing="1"/>
      <w:jc w:val="left"/>
    </w:pPr>
    <w:rPr>
      <w:rFonts w:ascii="宋体" w:hAnsi="宋体"/>
      <w:color w:val="000000"/>
      <w:kern w:val="0"/>
      <w:sz w:val="24"/>
    </w:rPr>
  </w:style>
  <w:style w:type="paragraph" w:styleId="48">
    <w:name w:val="Title"/>
    <w:basedOn w:val="1"/>
    <w:qFormat/>
    <w:uiPriority w:val="0"/>
    <w:pPr>
      <w:jc w:val="center"/>
      <w:outlineLvl w:val="0"/>
    </w:pPr>
    <w:rPr>
      <w:rFonts w:ascii="Arial" w:hAnsi="Arial" w:cs="Arial"/>
      <w:b/>
      <w:bCs/>
      <w:sz w:val="32"/>
      <w:szCs w:val="32"/>
    </w:rPr>
  </w:style>
  <w:style w:type="paragraph" w:styleId="49">
    <w:name w:val="annotation subject"/>
    <w:basedOn w:val="20"/>
    <w:next w:val="20"/>
    <w:link w:val="78"/>
    <w:qFormat/>
    <w:uiPriority w:val="0"/>
    <w:rPr>
      <w:b/>
      <w:bCs/>
    </w:rPr>
  </w:style>
  <w:style w:type="paragraph" w:styleId="50">
    <w:name w:val="Body Text First Indent 2"/>
    <w:basedOn w:val="23"/>
    <w:qFormat/>
    <w:uiPriority w:val="0"/>
    <w:pPr>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5"/>
    <w:qFormat/>
    <w:uiPriority w:val="0"/>
    <w:rPr>
      <w:rFonts w:eastAsia="宋体"/>
      <w:b/>
      <w:bCs/>
      <w:kern w:val="44"/>
      <w:sz w:val="44"/>
      <w:szCs w:val="44"/>
      <w:lang w:val="en-US" w:eastAsia="zh-CN" w:bidi="ar-SA"/>
    </w:rPr>
  </w:style>
  <w:style w:type="character" w:customStyle="1" w:styleId="63">
    <w:name w:val="标题 2 Char1"/>
    <w:link w:val="6"/>
    <w:qFormat/>
    <w:uiPriority w:val="0"/>
    <w:rPr>
      <w:rFonts w:ascii="Arial" w:hAnsi="Arial" w:eastAsia="黑体"/>
      <w:b/>
      <w:bCs/>
      <w:kern w:val="2"/>
      <w:sz w:val="32"/>
      <w:szCs w:val="32"/>
      <w:lang w:val="en-US" w:eastAsia="zh-CN" w:bidi="ar-SA"/>
    </w:rPr>
  </w:style>
  <w:style w:type="character" w:customStyle="1" w:styleId="64">
    <w:name w:val="正文缩进 Char"/>
    <w:link w:val="7"/>
    <w:qFormat/>
    <w:uiPriority w:val="0"/>
    <w:rPr>
      <w:rFonts w:eastAsia="宋体"/>
      <w:kern w:val="2"/>
      <w:sz w:val="21"/>
      <w:lang w:val="en-US" w:eastAsia="zh-CN" w:bidi="ar-SA"/>
    </w:rPr>
  </w:style>
  <w:style w:type="character" w:customStyle="1" w:styleId="65">
    <w:name w:val="标题 3 Char"/>
    <w:link w:val="8"/>
    <w:qFormat/>
    <w:uiPriority w:val="0"/>
    <w:rPr>
      <w:rFonts w:eastAsia="宋体"/>
      <w:b/>
      <w:bCs/>
      <w:kern w:val="2"/>
      <w:sz w:val="32"/>
      <w:szCs w:val="32"/>
      <w:lang w:val="en-US" w:eastAsia="zh-CN" w:bidi="ar-SA"/>
    </w:rPr>
  </w:style>
  <w:style w:type="character" w:customStyle="1" w:styleId="66">
    <w:name w:val="标题 4 Char"/>
    <w:link w:val="9"/>
    <w:qFormat/>
    <w:uiPriority w:val="0"/>
    <w:rPr>
      <w:rFonts w:ascii="Arial" w:hAnsi="Arial" w:eastAsia="黑体"/>
      <w:b/>
      <w:bCs/>
      <w:kern w:val="2"/>
      <w:sz w:val="28"/>
      <w:szCs w:val="28"/>
      <w:lang w:val="en-US" w:eastAsia="zh-CN" w:bidi="ar-SA"/>
    </w:rPr>
  </w:style>
  <w:style w:type="character" w:customStyle="1" w:styleId="67">
    <w:name w:val="标题 5 Char"/>
    <w:link w:val="10"/>
    <w:qFormat/>
    <w:uiPriority w:val="0"/>
    <w:rPr>
      <w:rFonts w:ascii="宋体" w:eastAsia="宋体"/>
      <w:b/>
      <w:snapToGrid w:val="0"/>
      <w:color w:val="000000"/>
      <w:sz w:val="28"/>
      <w:lang w:val="en-US" w:eastAsia="zh-CN" w:bidi="ar-SA"/>
    </w:rPr>
  </w:style>
  <w:style w:type="character" w:customStyle="1" w:styleId="68">
    <w:name w:val="标题 6 Char"/>
    <w:link w:val="11"/>
    <w:qFormat/>
    <w:uiPriority w:val="0"/>
    <w:rPr>
      <w:rFonts w:ascii="Arial" w:hAnsi="Arial" w:eastAsia="黑体"/>
      <w:b/>
      <w:snapToGrid w:val="0"/>
      <w:color w:val="000000"/>
      <w:sz w:val="24"/>
      <w:lang w:val="en-US" w:eastAsia="zh-CN" w:bidi="ar-SA"/>
    </w:rPr>
  </w:style>
  <w:style w:type="character" w:customStyle="1" w:styleId="69">
    <w:name w:val="标题 7 Char"/>
    <w:link w:val="12"/>
    <w:qFormat/>
    <w:uiPriority w:val="0"/>
    <w:rPr>
      <w:rFonts w:ascii="宋体" w:eastAsia="宋体"/>
      <w:b/>
      <w:snapToGrid w:val="0"/>
      <w:color w:val="000000"/>
      <w:sz w:val="24"/>
      <w:lang w:val="en-US" w:eastAsia="zh-CN" w:bidi="ar-SA"/>
    </w:rPr>
  </w:style>
  <w:style w:type="character" w:customStyle="1" w:styleId="70">
    <w:name w:val="标题 8 Char"/>
    <w:link w:val="13"/>
    <w:qFormat/>
    <w:uiPriority w:val="0"/>
    <w:rPr>
      <w:rFonts w:ascii="Arial" w:hAnsi="Arial" w:eastAsia="黑体"/>
      <w:snapToGrid w:val="0"/>
      <w:color w:val="000000"/>
      <w:sz w:val="24"/>
      <w:lang w:val="en-US" w:eastAsia="zh-CN" w:bidi="ar-SA"/>
    </w:rPr>
  </w:style>
  <w:style w:type="character" w:customStyle="1" w:styleId="71">
    <w:name w:val="标题 9 Char"/>
    <w:link w:val="14"/>
    <w:qFormat/>
    <w:uiPriority w:val="0"/>
    <w:rPr>
      <w:rFonts w:ascii="Arial" w:hAnsi="Arial" w:eastAsia="黑体"/>
      <w:snapToGrid w:val="0"/>
      <w:color w:val="000000"/>
      <w:sz w:val="21"/>
      <w:lang w:val="en-US" w:eastAsia="zh-CN" w:bidi="ar-SA"/>
    </w:rPr>
  </w:style>
  <w:style w:type="character" w:customStyle="1" w:styleId="72">
    <w:name w:val="批注文字 Char"/>
    <w:link w:val="20"/>
    <w:qFormat/>
    <w:uiPriority w:val="0"/>
    <w:rPr>
      <w:rFonts w:eastAsia="宋体"/>
      <w:sz w:val="21"/>
      <w:lang w:val="en-US" w:eastAsia="zh-CN" w:bidi="ar-SA"/>
    </w:rPr>
  </w:style>
  <w:style w:type="character" w:customStyle="1" w:styleId="73">
    <w:name w:val="正文文本缩进 Char"/>
    <w:link w:val="23"/>
    <w:qFormat/>
    <w:uiPriority w:val="0"/>
    <w:rPr>
      <w:rFonts w:ascii="仿宋_GB2312" w:eastAsia="仿宋_GB2312"/>
      <w:kern w:val="2"/>
      <w:sz w:val="32"/>
      <w:lang w:val="en-US" w:eastAsia="zh-CN" w:bidi="ar-SA"/>
    </w:rPr>
  </w:style>
  <w:style w:type="character" w:customStyle="1" w:styleId="74">
    <w:name w:val="纯文本 Char"/>
    <w:link w:val="26"/>
    <w:qFormat/>
    <w:uiPriority w:val="0"/>
    <w:rPr>
      <w:rFonts w:ascii="宋体" w:hAnsi="Courier New" w:eastAsia="宋体" w:cs="Courier New"/>
      <w:kern w:val="2"/>
      <w:sz w:val="21"/>
      <w:szCs w:val="21"/>
      <w:lang w:val="en-US" w:eastAsia="zh-CN" w:bidi="ar-SA"/>
    </w:rPr>
  </w:style>
  <w:style w:type="character" w:customStyle="1" w:styleId="75">
    <w:name w:val="批注框文本 Char"/>
    <w:link w:val="30"/>
    <w:qFormat/>
    <w:locked/>
    <w:uiPriority w:val="0"/>
    <w:rPr>
      <w:sz w:val="18"/>
      <w:szCs w:val="18"/>
    </w:rPr>
  </w:style>
  <w:style w:type="character" w:customStyle="1" w:styleId="76">
    <w:name w:val="页脚 Char"/>
    <w:link w:val="31"/>
    <w:qFormat/>
    <w:uiPriority w:val="0"/>
    <w:rPr>
      <w:rFonts w:eastAsia="宋体"/>
      <w:kern w:val="2"/>
      <w:sz w:val="18"/>
      <w:szCs w:val="18"/>
      <w:lang w:val="en-US" w:eastAsia="zh-CN" w:bidi="ar-SA"/>
    </w:rPr>
  </w:style>
  <w:style w:type="character" w:customStyle="1" w:styleId="77">
    <w:name w:val="页眉 Char1"/>
    <w:link w:val="32"/>
    <w:qFormat/>
    <w:uiPriority w:val="0"/>
    <w:rPr>
      <w:rFonts w:eastAsia="宋体"/>
      <w:kern w:val="2"/>
      <w:sz w:val="18"/>
      <w:szCs w:val="18"/>
      <w:lang w:val="en-US" w:eastAsia="zh-CN" w:bidi="ar-SA"/>
    </w:rPr>
  </w:style>
  <w:style w:type="character" w:customStyle="1" w:styleId="78">
    <w:name w:val="批注主题 Char"/>
    <w:link w:val="49"/>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Char Char7"/>
    <w:qFormat/>
    <w:uiPriority w:val="0"/>
    <w:rPr>
      <w:rFonts w:ascii="宋体" w:eastAsia="宋体"/>
      <w:b/>
      <w:snapToGrid w:val="0"/>
      <w:color w:val="000000"/>
      <w:sz w:val="24"/>
      <w:lang w:val="en-US" w:eastAsia="zh-CN" w:bidi="ar-SA"/>
    </w:rPr>
  </w:style>
  <w:style w:type="character" w:customStyle="1" w:styleId="96">
    <w:name w:val="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line="360" w:lineRule="auto"/>
      <w:ind w:firstLine="480" w:firstLineChars="200"/>
    </w:pPr>
    <w:rPr>
      <w:rFonts w:ascii="宋体"/>
      <w:kern w:val="0"/>
      <w:sz w:val="24"/>
      <w:szCs w:val="28"/>
    </w:rPr>
  </w:style>
  <w:style w:type="character" w:customStyle="1" w:styleId="133">
    <w:name w:val="列出段落 Char"/>
    <w:link w:val="61"/>
    <w:qFormat/>
    <w:locked/>
    <w:uiPriority w:val="34"/>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Autospacing="1"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7"/>
    <w:link w:val="161"/>
    <w:qFormat/>
    <w:uiPriority w:val="0"/>
    <w:pPr>
      <w:spacing w:line="360" w:lineRule="auto"/>
      <w:ind w:firstLine="480" w:firstLineChars="200"/>
    </w:pPr>
    <w:rPr>
      <w:sz w:val="24"/>
    </w:rPr>
  </w:style>
  <w:style w:type="character" w:customStyle="1" w:styleId="163">
    <w:name w:val="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5"/>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6"/>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Autospacing="1"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Autospacing="1"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3"/>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Autospacing="1"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5"/>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line="240" w:lineRule="exact"/>
      <w:jc w:val="left"/>
    </w:pPr>
    <w:rPr>
      <w:szCs w:val="20"/>
    </w:rPr>
  </w:style>
  <w:style w:type="paragraph" w:customStyle="1" w:styleId="186">
    <w:name w:val="四级条标题"/>
    <w:basedOn w:val="187"/>
    <w:next w:val="9"/>
    <w:qFormat/>
    <w:uiPriority w:val="0"/>
    <w:pPr>
      <w:outlineLvl w:val="5"/>
    </w:pPr>
  </w:style>
  <w:style w:type="paragraph" w:customStyle="1" w:styleId="187">
    <w:name w:val="三级条标题"/>
    <w:basedOn w:val="188"/>
    <w:next w:val="9"/>
    <w:qFormat/>
    <w:uiPriority w:val="0"/>
    <w:pPr>
      <w:ind w:left="0"/>
      <w:outlineLvl w:val="4"/>
    </w:pPr>
  </w:style>
  <w:style w:type="paragraph" w:customStyle="1" w:styleId="188">
    <w:name w:val="二级条标题"/>
    <w:basedOn w:val="189"/>
    <w:next w:val="9"/>
    <w:qFormat/>
    <w:uiPriority w:val="0"/>
    <w:pPr>
      <w:ind w:left="540"/>
      <w:outlineLvl w:val="3"/>
    </w:pPr>
  </w:style>
  <w:style w:type="paragraph" w:customStyle="1" w:styleId="189">
    <w:name w:val="一级条标题"/>
    <w:basedOn w:val="190"/>
    <w:next w:val="9"/>
    <w:qFormat/>
    <w:uiPriority w:val="0"/>
    <w:pPr>
      <w:spacing w:beforeLines="0" w:afterLines="0"/>
      <w:ind w:left="0"/>
      <w:outlineLvl w:val="2"/>
    </w:pPr>
  </w:style>
  <w:style w:type="paragraph" w:customStyle="1" w:styleId="190">
    <w:name w:val="章标题"/>
    <w:next w:val="9"/>
    <w:qFormat/>
    <w:uiPriority w:val="0"/>
    <w:pPr>
      <w:spacing w:beforeLines="50"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94">
    <w:name w:val="样式 标题 5 + 宋体"/>
    <w:basedOn w:val="10"/>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Autospacing="1"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Lines="100"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Lines="50"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Char1 Char Char Char1"/>
    <w:basedOn w:val="1"/>
    <w:qFormat/>
    <w:uiPriority w:val="0"/>
    <w:pPr>
      <w:widowControl/>
      <w:spacing w:line="240" w:lineRule="exact"/>
      <w:jc w:val="left"/>
    </w:pPr>
    <w:rPr>
      <w:kern w:val="0"/>
      <w:szCs w:val="20"/>
    </w:rPr>
  </w:style>
  <w:style w:type="paragraph" w:customStyle="1" w:styleId="211">
    <w:name w:val="xl32"/>
    <w:basedOn w:val="1"/>
    <w:qFormat/>
    <w:uiPriority w:val="0"/>
    <w:pPr>
      <w:widowControl/>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218">
    <w:name w:val="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20">
    <w:name w:val="Char Char Char Char Char Char Char Char Char Char"/>
    <w:basedOn w:val="18"/>
    <w:qFormat/>
    <w:uiPriority w:val="0"/>
    <w:pPr>
      <w:widowControl w:val="0"/>
      <w:jc w:val="both"/>
    </w:pPr>
    <w:rPr>
      <w:kern w:val="2"/>
      <w:szCs w:val="24"/>
    </w:rPr>
  </w:style>
  <w:style w:type="paragraph" w:customStyle="1" w:styleId="221">
    <w:name w:val="正文样式"/>
    <w:basedOn w:val="1"/>
    <w:qFormat/>
    <w:uiPriority w:val="0"/>
    <w:pPr>
      <w:tabs>
        <w:tab w:val="left" w:pos="630"/>
      </w:tabs>
      <w:spacing w:line="300" w:lineRule="auto"/>
      <w:ind w:left="630" w:hanging="630"/>
    </w:pPr>
    <w:rPr>
      <w:rFonts w:ascii="宋体"/>
      <w:sz w:val="24"/>
    </w:rPr>
  </w:style>
  <w:style w:type="paragraph" w:customStyle="1" w:styleId="222">
    <w:name w:val="xl62"/>
    <w:basedOn w:val="1"/>
    <w:qFormat/>
    <w:uiPriority w:val="0"/>
    <w:pPr>
      <w:widowControl/>
      <w:spacing w:beforeAutospacing="1"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Lines="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Autospacing="1" w:afterAutospacing="1"/>
      <w:jc w:val="left"/>
      <w:textAlignment w:val="center"/>
    </w:pPr>
    <w:rPr>
      <w:rFonts w:ascii="宋体" w:hAnsi="宋体" w:cs="宋体"/>
      <w:color w:val="000000"/>
      <w:kern w:val="0"/>
      <w:sz w:val="24"/>
    </w:rPr>
  </w:style>
  <w:style w:type="paragraph" w:customStyle="1" w:styleId="226">
    <w:name w:val="1.1 标题"/>
    <w:basedOn w:val="5"/>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8"/>
    <w:qFormat/>
    <w:uiPriority w:val="0"/>
    <w:pPr>
      <w:tabs>
        <w:tab w:val="left" w:pos="0"/>
        <w:tab w:val="left" w:pos="1080"/>
      </w:tabs>
      <w:spacing w:before="24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Autospacing="1" w:afterAutospacing="1"/>
      <w:jc w:val="center"/>
    </w:pPr>
    <w:rPr>
      <w:rFonts w:ascii="宋体" w:hAnsi="宋体" w:cs="宋体"/>
      <w:kern w:val="0"/>
      <w:sz w:val="24"/>
    </w:rPr>
  </w:style>
  <w:style w:type="paragraph" w:customStyle="1" w:styleId="232">
    <w:name w:val="正文1"/>
    <w:basedOn w:val="1"/>
    <w:qFormat/>
    <w:uiPriority w:val="0"/>
    <w:pPr>
      <w:spacing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8"/>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39">
    <w:name w:val="Char Char2 Char Char Char Char"/>
    <w:basedOn w:val="1"/>
    <w:qFormat/>
    <w:uiPriority w:val="0"/>
    <w:pPr>
      <w:widowControl/>
      <w:spacing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Lines="50" w:afterLines="50" w:line="240" w:lineRule="atLeast"/>
      <w:ind w:firstLine="200" w:firstLineChars="200"/>
    </w:pPr>
    <w:rPr>
      <w:rFonts w:ascii="Arial" w:hAnsi="Arial"/>
      <w:sz w:val="24"/>
    </w:rPr>
  </w:style>
  <w:style w:type="paragraph" w:customStyle="1" w:styleId="245">
    <w:name w:val="表格文字"/>
    <w:basedOn w:val="1"/>
    <w:qFormat/>
    <w:uiPriority w:val="0"/>
    <w:pPr>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Autospacing="1"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Autospacing="1"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日期1"/>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8"/>
    <w:qFormat/>
    <w:uiPriority w:val="0"/>
    <w:pPr>
      <w:keepNext w:val="0"/>
      <w:keepLines w:val="0"/>
      <w:spacing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6"/>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8"/>
    <w:qFormat/>
    <w:uiPriority w:val="0"/>
    <w:pPr>
      <w:ind w:left="210" w:leftChars="100" w:right="210" w:rightChars="100"/>
      <w:jc w:val="left"/>
    </w:pPr>
    <w:rPr>
      <w:rFonts w:ascii="宋体" w:hAnsi="宋体"/>
      <w:kern w:val="0"/>
    </w:rPr>
  </w:style>
  <w:style w:type="paragraph" w:customStyle="1" w:styleId="262">
    <w:name w:val="QB表内文字"/>
    <w:basedOn w:val="9"/>
    <w:qFormat/>
    <w:uiPriority w:val="0"/>
    <w:pPr>
      <w:keepNext w:val="0"/>
      <w:keepLines w:val="0"/>
      <w:tabs>
        <w:tab w:val="left" w:pos="864"/>
      </w:tabs>
      <w:autoSpaceDE w:val="0"/>
      <w:autoSpaceDN w:val="0"/>
      <w:spacing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Autospacing="1"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Autospacing="1"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Autospacing="1"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Autospacing="1"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Autospacing="1"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4"/>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Lines="50"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286">
    <w:name w:val="Char11"/>
    <w:basedOn w:val="1"/>
    <w:qFormat/>
    <w:uiPriority w:val="0"/>
    <w:pPr>
      <w:widowControl/>
      <w:spacing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Autospacing="1" w:afterAutospacing="1"/>
      <w:jc w:val="left"/>
    </w:pPr>
    <w:rPr>
      <w:rFonts w:ascii="宋体" w:hAnsi="宋体" w:cs="宋体"/>
      <w:kern w:val="0"/>
      <w:sz w:val="24"/>
    </w:rPr>
  </w:style>
  <w:style w:type="paragraph" w:customStyle="1" w:styleId="289">
    <w:name w:val="Char Char Char Char Char Char"/>
    <w:basedOn w:val="1"/>
    <w:qFormat/>
    <w:uiPriority w:val="0"/>
    <w:rPr>
      <w:rFonts w:ascii="Tahoma" w:hAnsi="Tahoma"/>
      <w:sz w:val="24"/>
      <w:szCs w:val="20"/>
    </w:rPr>
  </w:style>
  <w:style w:type="paragraph" w:customStyle="1" w:styleId="290">
    <w:name w:val="Char Char Char Char Char Char Char Char Char Char Char Char Char Char Char Char1"/>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pPr>
    <w:rPr>
      <w:rFonts w:ascii="宋体"/>
      <w:b/>
      <w:sz w:val="28"/>
    </w:rPr>
  </w:style>
  <w:style w:type="paragraph" w:customStyle="1" w:styleId="297">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Autospacing="1"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color w:val="000000"/>
      <w:kern w:val="0"/>
      <w:sz w:val="20"/>
      <w:szCs w:val="20"/>
    </w:rPr>
  </w:style>
  <w:style w:type="paragraph" w:customStyle="1" w:styleId="301">
    <w:name w:val="Char Char24 Char Char Char Char"/>
    <w:basedOn w:val="1"/>
    <w:qFormat/>
    <w:uiPriority w:val="0"/>
    <w:pPr>
      <w:widowControl/>
      <w:spacing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305">
    <w:name w:val="Char2"/>
    <w:basedOn w:val="1"/>
    <w:qFormat/>
    <w:uiPriority w:val="0"/>
    <w:pPr>
      <w:widowControl/>
      <w:spacing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12">
    <w:name w:val="样式2"/>
    <w:basedOn w:val="6"/>
    <w:qFormat/>
    <w:uiPriority w:val="0"/>
    <w:pPr>
      <w:jc w:val="center"/>
    </w:pPr>
    <w:rPr>
      <w:rFonts w:eastAsia="华文中宋"/>
      <w:sz w:val="36"/>
      <w:szCs w:val="36"/>
    </w:rPr>
  </w:style>
  <w:style w:type="paragraph" w:customStyle="1" w:styleId="313">
    <w:name w:val="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Autospacing="1"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6"/>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Autospacing="1"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Autospacing="1"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Autospacing="1"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Autospacing="1"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Autospacing="1" w:afterAutospacing="1"/>
      <w:jc w:val="left"/>
      <w:textAlignment w:val="center"/>
    </w:pPr>
    <w:rPr>
      <w:rFonts w:hint="eastAsia" w:ascii="宋体" w:hAnsi="宋体" w:cs="Arial Unicode MS"/>
      <w:b/>
      <w:bCs/>
      <w:kern w:val="0"/>
      <w:sz w:val="16"/>
      <w:szCs w:val="16"/>
    </w:rPr>
  </w:style>
  <w:style w:type="paragraph" w:customStyle="1" w:styleId="322">
    <w:name w:val="_Style 321"/>
    <w:basedOn w:val="5"/>
    <w:next w:val="1"/>
    <w:qFormat/>
    <w:uiPriority w:val="0"/>
    <w:pPr>
      <w:widowControl/>
      <w:spacing w:line="276" w:lineRule="auto"/>
      <w:jc w:val="left"/>
      <w:outlineLvl w:val="9"/>
    </w:pPr>
    <w:rPr>
      <w:rFonts w:ascii="Cambria" w:hAnsi="Cambria"/>
      <w:color w:val="365F91"/>
      <w:kern w:val="0"/>
      <w:sz w:val="28"/>
      <w:szCs w:val="28"/>
    </w:rPr>
  </w:style>
  <w:style w:type="paragraph" w:customStyle="1" w:styleId="323">
    <w:name w:val="正文2"/>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0"/>
      <w:szCs w:val="20"/>
    </w:rPr>
  </w:style>
  <w:style w:type="paragraph" w:customStyle="1" w:styleId="325">
    <w:name w:val="Char Char Char1 Char"/>
    <w:basedOn w:val="18"/>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Autospacing="1"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330">
    <w:name w:val="Char1"/>
    <w:basedOn w:val="18"/>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line="300" w:lineRule="auto"/>
      <w:ind w:firstLine="527"/>
      <w:jc w:val="left"/>
    </w:pPr>
    <w:rPr>
      <w:w w:val="105"/>
      <w:kern w:val="0"/>
      <w:sz w:val="24"/>
      <w:szCs w:val="20"/>
    </w:rPr>
  </w:style>
  <w:style w:type="paragraph" w:customStyle="1" w:styleId="333">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5">
    <w:name w:val="Char Char"/>
    <w:basedOn w:val="1"/>
    <w:qFormat/>
    <w:uiPriority w:val="0"/>
    <w:rPr>
      <w:rFonts w:ascii="宋体" w:hAnsi="宋体"/>
      <w:b/>
      <w:sz w:val="28"/>
      <w:szCs w:val="28"/>
    </w:rPr>
  </w:style>
  <w:style w:type="paragraph" w:customStyle="1" w:styleId="336">
    <w:name w:val="xl57"/>
    <w:basedOn w:val="1"/>
    <w:qFormat/>
    <w:uiPriority w:val="0"/>
    <w:pPr>
      <w:widowControl/>
      <w:spacing w:beforeAutospacing="1"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Autospacing="1"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340">
    <w:name w:val="Char12"/>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line="240" w:lineRule="exact"/>
      <w:jc w:val="left"/>
    </w:pPr>
    <w:rPr>
      <w:kern w:val="0"/>
      <w:szCs w:val="20"/>
    </w:rPr>
  </w:style>
  <w:style w:type="paragraph" w:customStyle="1" w:styleId="343">
    <w:name w:val="保留正文"/>
    <w:basedOn w:val="3"/>
    <w:qFormat/>
    <w:uiPriority w:val="0"/>
    <w:pPr>
      <w:keepNext/>
      <w:spacing w:line="240" w:lineRule="auto"/>
    </w:pPr>
    <w:rPr>
      <w:szCs w:val="24"/>
    </w:rPr>
  </w:style>
  <w:style w:type="paragraph" w:customStyle="1" w:styleId="344">
    <w:name w:val="font9"/>
    <w:basedOn w:val="1"/>
    <w:qFormat/>
    <w:uiPriority w:val="0"/>
    <w:pPr>
      <w:widowControl/>
      <w:spacing w:beforeAutospacing="1"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Autospacing="1"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Autospacing="1"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Autospacing="1"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line="240" w:lineRule="exact"/>
      <w:jc w:val="left"/>
    </w:pPr>
  </w:style>
  <w:style w:type="paragraph" w:customStyle="1" w:styleId="353">
    <w:name w:val="Char Char8 Char Char"/>
    <w:basedOn w:val="1"/>
    <w:qFormat/>
    <w:uiPriority w:val="0"/>
    <w:pPr>
      <w:widowControl/>
      <w:spacing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99"/>
    <w:pPr>
      <w:widowControl/>
      <w:ind w:firstLine="420" w:firstLineChars="200"/>
      <w:jc w:val="left"/>
    </w:pPr>
    <w:rPr>
      <w:kern w:val="0"/>
      <w:szCs w:val="20"/>
    </w:rPr>
  </w:style>
  <w:style w:type="paragraph" w:customStyle="1" w:styleId="356">
    <w:name w:val="a03"/>
    <w:basedOn w:val="1"/>
    <w:qFormat/>
    <w:uiPriority w:val="0"/>
    <w:pPr>
      <w:widowControl/>
      <w:spacing w:beforeAutospacing="1"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Autospacing="1" w:afterAutospacing="1"/>
      <w:jc w:val="left"/>
    </w:pPr>
    <w:rPr>
      <w:rFonts w:ascii="宋体" w:hAnsi="宋体" w:cs="宋体"/>
      <w:color w:val="000000"/>
      <w:kern w:val="0"/>
      <w:sz w:val="20"/>
      <w:szCs w:val="20"/>
    </w:rPr>
  </w:style>
  <w:style w:type="paragraph" w:customStyle="1" w:styleId="358">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Autospacing="1"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cs="宋体"/>
      <w:kern w:val="0"/>
      <w:sz w:val="18"/>
      <w:szCs w:val="18"/>
    </w:rPr>
  </w:style>
  <w:style w:type="paragraph" w:customStyle="1" w:styleId="361">
    <w:name w:val="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63">
    <w:name w:val="签名 - 公司"/>
    <w:basedOn w:val="33"/>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Autospacing="1"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Autospacing="1"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2"/>
    <w:next w:val="2"/>
    <w:qFormat/>
    <w:uiPriority w:val="0"/>
    <w:pPr>
      <w:widowControl/>
      <w:tabs>
        <w:tab w:val="left" w:pos="425"/>
      </w:tabs>
      <w:suppressAutoHyphens/>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78">
    <w:name w:val="Char Char2 Char"/>
    <w:basedOn w:val="1"/>
    <w:qFormat/>
    <w:uiPriority w:val="0"/>
    <w:rPr>
      <w:rFonts w:ascii="宋体" w:hAnsi="宋体"/>
      <w:b/>
      <w:sz w:val="28"/>
      <w:szCs w:val="28"/>
    </w:rPr>
  </w:style>
  <w:style w:type="paragraph" w:customStyle="1" w:styleId="379">
    <w:name w:val="text"/>
    <w:basedOn w:val="1"/>
    <w:qFormat/>
    <w:uiPriority w:val="0"/>
    <w:pPr>
      <w:widowControl/>
      <w:spacing w:beforeAutospacing="1"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Autospacing="1"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cs="宋体"/>
      <w:sz w:val="18"/>
      <w:szCs w:val="18"/>
      <w:lang w:val="zh-TW" w:eastAsia="zh-TW" w:bidi="zh-TW"/>
    </w:rPr>
  </w:style>
  <w:style w:type="paragraph" w:customStyle="1" w:styleId="388">
    <w:name w:val="Table Paragraph"/>
    <w:basedOn w:val="1"/>
    <w:qFormat/>
    <w:uiPriority w:val="1"/>
    <w:rPr>
      <w:rFonts w:ascii="宋体" w:hAnsi="宋体" w:cs="宋体"/>
      <w:lang w:val="zh-CN" w:bidi="zh-CN"/>
    </w:rPr>
  </w:style>
  <w:style w:type="paragraph" w:customStyle="1" w:styleId="38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7667</Words>
  <Characters>7986</Characters>
  <Lines>35</Lines>
  <Paragraphs>9</Paragraphs>
  <TotalTime>0</TotalTime>
  <ScaleCrop>false</ScaleCrop>
  <LinksUpToDate>false</LinksUpToDate>
  <CharactersWithSpaces>8288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2021-12-17T01:00:00Z</cp:lastPrinted>
  <dcterms:modified xsi:type="dcterms:W3CDTF">2022-11-17T02:13:59Z</dcterms:modified>
  <dc:title>公开招标文件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E48D863347874302B460289EA1F58C5C</vt:lpwstr>
  </property>
</Properties>
</file>