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sz w:val="32"/>
          <w:szCs w:val="32"/>
        </w:rPr>
      </w:pPr>
      <w:r>
        <w:rPr>
          <w:rFonts w:hint="eastAsia"/>
          <w:b/>
          <w:bCs/>
          <w:sz w:val="44"/>
          <w:szCs w:val="44"/>
        </w:rPr>
        <w:t>报价单</w:t>
      </w:r>
    </w:p>
    <w:p>
      <w:pPr>
        <w:spacing w:line="440" w:lineRule="exact"/>
        <w:rPr>
          <w:sz w:val="32"/>
          <w:szCs w:val="32"/>
        </w:rPr>
      </w:pPr>
    </w:p>
    <w:p>
      <w:pPr>
        <w:spacing w:line="440" w:lineRule="exact"/>
        <w:rPr>
          <w:sz w:val="32"/>
          <w:szCs w:val="32"/>
        </w:rPr>
      </w:pPr>
      <w:r>
        <w:rPr>
          <w:rFonts w:hint="eastAsia"/>
          <w:sz w:val="32"/>
          <w:szCs w:val="32"/>
        </w:rPr>
        <w:t>致中山市小榄人民医院：</w:t>
      </w:r>
    </w:p>
    <w:tbl>
      <w:tblPr>
        <w:tblStyle w:val="9"/>
        <w:tblpPr w:leftFromText="180" w:rightFromText="180" w:vertAnchor="text" w:horzAnchor="page" w:tblpX="1299" w:tblpY="584"/>
        <w:tblOverlap w:val="never"/>
        <w:tblW w:w="10049" w:type="dxa"/>
        <w:tblInd w:w="0" w:type="dxa"/>
        <w:tblLayout w:type="fixed"/>
        <w:tblCellMar>
          <w:top w:w="0" w:type="dxa"/>
          <w:left w:w="0" w:type="dxa"/>
          <w:bottom w:w="0" w:type="dxa"/>
          <w:right w:w="0" w:type="dxa"/>
        </w:tblCellMar>
      </w:tblPr>
      <w:tblGrid>
        <w:gridCol w:w="1000"/>
        <w:gridCol w:w="1632"/>
        <w:gridCol w:w="968"/>
        <w:gridCol w:w="1416"/>
        <w:gridCol w:w="885"/>
        <w:gridCol w:w="832"/>
        <w:gridCol w:w="850"/>
        <w:gridCol w:w="1218"/>
        <w:gridCol w:w="1248"/>
      </w:tblGrid>
      <w:tr>
        <w:tblPrEx>
          <w:tblCellMar>
            <w:top w:w="0" w:type="dxa"/>
            <w:left w:w="0" w:type="dxa"/>
            <w:bottom w:w="0" w:type="dxa"/>
            <w:right w:w="0" w:type="dxa"/>
          </w:tblCellMar>
        </w:tblPrEx>
        <w:trPr>
          <w:trHeight w:val="746"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kern w:val="0"/>
                <w:sz w:val="24"/>
              </w:rPr>
            </w:pPr>
            <w:r>
              <w:rPr>
                <w:rFonts w:hint="eastAsia" w:ascii="宋体" w:hAnsi="宋体" w:cs="宋体"/>
                <w:kern w:val="0"/>
                <w:sz w:val="24"/>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名称</w:t>
            </w:r>
          </w:p>
        </w:tc>
        <w:tc>
          <w:tcPr>
            <w:tcW w:w="96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型号</w:t>
            </w:r>
          </w:p>
        </w:tc>
        <w:tc>
          <w:tcPr>
            <w:tcW w:w="141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厂家</w:t>
            </w:r>
            <w:r>
              <w:rPr>
                <w:rStyle w:val="17"/>
                <w:color w:val="auto"/>
                <w:sz w:val="24"/>
                <w:szCs w:val="24"/>
              </w:rPr>
              <w:t>/</w:t>
            </w:r>
            <w:r>
              <w:rPr>
                <w:rStyle w:val="18"/>
                <w:rFonts w:hint="default"/>
                <w:color w:val="auto"/>
                <w:sz w:val="24"/>
                <w:szCs w:val="24"/>
              </w:rPr>
              <w:t>品牌</w:t>
            </w:r>
          </w:p>
        </w:tc>
        <w:tc>
          <w:tcPr>
            <w:tcW w:w="88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产地</w:t>
            </w:r>
          </w:p>
        </w:tc>
        <w:tc>
          <w:tcPr>
            <w:tcW w:w="83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单位</w:t>
            </w:r>
          </w:p>
        </w:tc>
        <w:tc>
          <w:tcPr>
            <w:tcW w:w="85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数量</w:t>
            </w:r>
          </w:p>
        </w:tc>
        <w:tc>
          <w:tcPr>
            <w:tcW w:w="121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单价（元）</w:t>
            </w:r>
          </w:p>
        </w:tc>
        <w:tc>
          <w:tcPr>
            <w:tcW w:w="124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ascii="宋体" w:hAnsi="宋体" w:cs="宋体"/>
                <w:sz w:val="24"/>
              </w:rPr>
            </w:pPr>
            <w:r>
              <w:rPr>
                <w:rFonts w:hint="eastAsia" w:ascii="宋体" w:hAnsi="宋体" w:cs="宋体"/>
                <w:kern w:val="0"/>
                <w:sz w:val="24"/>
              </w:rPr>
              <w:t>总价（元）</w:t>
            </w:r>
          </w:p>
        </w:tc>
      </w:tr>
      <w:tr>
        <w:tblPrEx>
          <w:tblCellMar>
            <w:top w:w="0" w:type="dxa"/>
            <w:left w:w="0" w:type="dxa"/>
            <w:bottom w:w="0" w:type="dxa"/>
            <w:right w:w="0" w:type="dxa"/>
          </w:tblCellMar>
        </w:tblPrEx>
        <w:trPr>
          <w:trHeight w:val="375" w:hRule="atLeast"/>
        </w:trPr>
        <w:tc>
          <w:tcPr>
            <w:tcW w:w="10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r>
              <w:rPr>
                <w:rFonts w:hint="eastAsia"/>
                <w:sz w:val="24"/>
              </w:rPr>
              <w:t>1</w:t>
            </w:r>
          </w:p>
        </w:tc>
        <w:tc>
          <w:tcPr>
            <w:tcW w:w="16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9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16"/>
              </w:rPr>
            </w:pPr>
            <w:r>
              <w:rPr>
                <w:rFonts w:hint="eastAsia"/>
                <w:sz w:val="16"/>
              </w:rPr>
              <w:t>（按注册证填写）</w:t>
            </w:r>
          </w:p>
        </w:tc>
        <w:tc>
          <w:tcPr>
            <w:tcW w:w="14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8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eastAsia="宋体"/>
                <w:sz w:val="24"/>
                <w:lang w:val="en-US" w:eastAsia="zh-CN"/>
              </w:rPr>
            </w:pPr>
            <w:r>
              <w:rPr>
                <w:rFonts w:hint="eastAsia"/>
                <w:sz w:val="24"/>
                <w:lang w:val="en-US" w:eastAsia="zh-CN"/>
              </w:rPr>
              <w:t>套</w:t>
            </w:r>
          </w:p>
        </w:tc>
        <w:tc>
          <w:tcPr>
            <w:tcW w:w="8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eastAsia="宋体"/>
                <w:sz w:val="24"/>
                <w:lang w:val="en-US" w:eastAsia="zh-CN"/>
              </w:rPr>
            </w:pPr>
            <w:r>
              <w:rPr>
                <w:rFonts w:hint="eastAsia"/>
                <w:sz w:val="24"/>
                <w:lang w:val="en-US" w:eastAsia="zh-CN"/>
              </w:rPr>
              <w:t>1</w:t>
            </w:r>
          </w:p>
        </w:tc>
        <w:tc>
          <w:tcPr>
            <w:tcW w:w="12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c>
          <w:tcPr>
            <w:tcW w:w="12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sz w:val="24"/>
              </w:rPr>
            </w:pPr>
          </w:p>
        </w:tc>
      </w:tr>
    </w:tbl>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1、以上设备提供原厂</w:t>
      </w:r>
      <w:r>
        <w:rPr>
          <w:rFonts w:hint="eastAsia"/>
          <w:sz w:val="28"/>
          <w:szCs w:val="28"/>
          <w:u w:val="single"/>
        </w:rPr>
        <w:t xml:space="preserve">     </w:t>
      </w:r>
      <w:r>
        <w:rPr>
          <w:rFonts w:hint="eastAsia"/>
          <w:sz w:val="28"/>
          <w:szCs w:val="28"/>
        </w:rPr>
        <w:t>年质保。</w:t>
      </w:r>
    </w:p>
    <w:p>
      <w:pPr>
        <w:keepNext w:val="0"/>
        <w:keepLines w:val="0"/>
        <w:pageBreakBefore w:val="0"/>
        <w:kinsoku/>
        <w:wordWrap/>
        <w:overflowPunct/>
        <w:topLinePunct w:val="0"/>
        <w:autoSpaceDE/>
        <w:autoSpaceDN/>
        <w:bidi w:val="0"/>
        <w:adjustRightInd w:val="0"/>
        <w:snapToGrid w:val="0"/>
        <w:spacing w:line="240" w:lineRule="auto"/>
        <w:rPr>
          <w:rFonts w:hint="eastAsia"/>
          <w:sz w:val="28"/>
          <w:szCs w:val="28"/>
        </w:rPr>
      </w:pPr>
    </w:p>
    <w:p>
      <w:pPr>
        <w:keepNext w:val="0"/>
        <w:keepLines w:val="0"/>
        <w:pageBreakBefore w:val="0"/>
        <w:kinsoku/>
        <w:wordWrap/>
        <w:overflowPunct/>
        <w:topLinePunct w:val="0"/>
        <w:autoSpaceDE/>
        <w:autoSpaceDN/>
        <w:bidi w:val="0"/>
        <w:adjustRightInd w:val="0"/>
        <w:snapToGrid w:val="0"/>
        <w:spacing w:line="240" w:lineRule="auto"/>
        <w:rPr>
          <w:sz w:val="28"/>
          <w:szCs w:val="28"/>
        </w:rPr>
      </w:pPr>
      <w:r>
        <w:rPr>
          <w:rFonts w:hint="eastAsia"/>
          <w:sz w:val="28"/>
          <w:szCs w:val="28"/>
        </w:rPr>
        <w:t>2、配件、耗材报价（如有请详细列出来）：</w:t>
      </w:r>
    </w:p>
    <w:tbl>
      <w:tblPr>
        <w:tblStyle w:val="9"/>
        <w:tblpPr w:leftFromText="180" w:rightFromText="180" w:vertAnchor="text" w:horzAnchor="page" w:tblpX="792" w:tblpY="355"/>
        <w:tblOverlap w:val="never"/>
        <w:tblW w:w="10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1184"/>
        <w:gridCol w:w="1066"/>
        <w:gridCol w:w="867"/>
        <w:gridCol w:w="1350"/>
        <w:gridCol w:w="750"/>
        <w:gridCol w:w="783"/>
        <w:gridCol w:w="900"/>
        <w:gridCol w:w="717"/>
        <w:gridCol w:w="141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bookmarkStart w:id="0" w:name="OLE_LINK1"/>
            <w:r>
              <w:rPr>
                <w:rFonts w:hint="eastAsia" w:ascii="宋体" w:hAnsi="宋体" w:eastAsia="宋体" w:cs="宋体"/>
                <w:i w:val="0"/>
                <w:iCs w:val="0"/>
                <w:color w:val="000000"/>
                <w:kern w:val="0"/>
                <w:sz w:val="24"/>
                <w:szCs w:val="24"/>
                <w:u w:val="none"/>
                <w:lang w:val="en-US" w:eastAsia="zh-CN" w:bidi="ar"/>
              </w:rPr>
              <w:t>药交ID</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国家医保耗材代码</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医疗器械注册证号</w:t>
            </w: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耗材/试剂/消耗品/配件</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是否专机专用</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是否可收费</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联盟区/省平台</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供应商报价（如果在联盟区，报价不得高于联盟区限价）</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2068328</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C1701082160600006251</w:t>
            </w: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辐照生物敷料</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0.5-7鼓(100mmx200mm/鼓)</w:t>
            </w: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耗材</w:t>
            </w: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联盟区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300 </w:t>
            </w: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低温储存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8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自行添加</w:t>
            </w:r>
          </w:p>
        </w:tc>
        <w:tc>
          <w:tcPr>
            <w:tcW w:w="11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6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i w:val="0"/>
                <w:iCs w:val="0"/>
                <w:color w:val="000000"/>
                <w:sz w:val="24"/>
                <w:szCs w:val="24"/>
                <w:u w:val="none"/>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kern w:val="0"/>
                <w:sz w:val="24"/>
                <w:szCs w:val="24"/>
                <w:u w:val="none"/>
                <w:lang w:val="en-US" w:eastAsia="zh-CN" w:bidi="ar"/>
              </w:rPr>
            </w:pPr>
          </w:p>
        </w:tc>
        <w:tc>
          <w:tcPr>
            <w:tcW w:w="7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9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7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right"/>
              <w:textAlignment w:val="center"/>
              <w:rPr>
                <w:rFonts w:hint="eastAsia" w:ascii="宋体" w:hAnsi="宋体" w:eastAsia="宋体" w:cs="宋体"/>
                <w:i w:val="0"/>
                <w:iCs w:val="0"/>
                <w:color w:val="000000"/>
                <w:kern w:val="0"/>
                <w:sz w:val="24"/>
                <w:szCs w:val="24"/>
                <w:u w:val="none"/>
                <w:lang w:val="en-US" w:eastAsia="zh-CN" w:bidi="ar"/>
              </w:rPr>
            </w:pPr>
          </w:p>
        </w:tc>
        <w:tc>
          <w:tcPr>
            <w:tcW w:w="9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bookmarkEnd w:id="0"/>
    </w:tbl>
    <w:p>
      <w:pPr>
        <w:jc w:val="right"/>
        <w:rPr>
          <w:sz w:val="28"/>
          <w:szCs w:val="28"/>
        </w:rPr>
      </w:pPr>
      <w:r>
        <w:rPr>
          <w:rFonts w:hint="eastAsia"/>
          <w:sz w:val="28"/>
          <w:szCs w:val="28"/>
        </w:rPr>
        <w:t xml:space="preserve">                           报价公司（盖章）：</w:t>
      </w:r>
    </w:p>
    <w:p>
      <w:pPr>
        <w:ind w:firstLine="5320" w:firstLineChars="1900"/>
        <w:jc w:val="right"/>
        <w:rPr>
          <w:sz w:val="28"/>
          <w:szCs w:val="28"/>
        </w:rPr>
      </w:pPr>
      <w:r>
        <w:rPr>
          <w:rFonts w:hint="eastAsia"/>
          <w:sz w:val="28"/>
          <w:szCs w:val="28"/>
        </w:rPr>
        <w:t>报价联系人：</w:t>
      </w:r>
    </w:p>
    <w:p>
      <w:pPr>
        <w:jc w:val="right"/>
        <w:rPr>
          <w:sz w:val="28"/>
          <w:szCs w:val="28"/>
        </w:rPr>
      </w:pPr>
      <w:r>
        <w:rPr>
          <w:rFonts w:hint="eastAsia"/>
          <w:sz w:val="28"/>
          <w:szCs w:val="28"/>
        </w:rPr>
        <w:t xml:space="preserve">                           联系方式：</w:t>
      </w:r>
    </w:p>
    <w:p>
      <w:pPr>
        <w:jc w:val="right"/>
        <w:rPr>
          <w:sz w:val="28"/>
          <w:szCs w:val="28"/>
        </w:rPr>
      </w:pPr>
      <w:r>
        <w:rPr>
          <w:rFonts w:hint="eastAsia"/>
          <w:sz w:val="28"/>
          <w:szCs w:val="28"/>
        </w:rPr>
        <w:t xml:space="preserve">                       邮箱：</w:t>
      </w:r>
    </w:p>
    <w:p>
      <w:pPr>
        <w:keepNext w:val="0"/>
        <w:keepLines w:val="0"/>
        <w:pageBreakBefore w:val="0"/>
        <w:widowControl w:val="0"/>
        <w:kinsoku/>
        <w:wordWrap/>
        <w:overflowPunct/>
        <w:topLinePunct w:val="0"/>
        <w:autoSpaceDE/>
        <w:autoSpaceDN/>
        <w:bidi w:val="0"/>
        <w:adjustRightInd w:val="0"/>
        <w:snapToGrid w:val="0"/>
        <w:jc w:val="right"/>
        <w:textAlignment w:val="auto"/>
        <w:rPr>
          <w:rFonts w:hint="eastAsia"/>
          <w:sz w:val="28"/>
          <w:szCs w:val="28"/>
          <w:lang w:eastAsia="zh-CN"/>
        </w:rPr>
      </w:pPr>
      <w:r>
        <w:rPr>
          <w:rFonts w:hint="eastAsia"/>
          <w:sz w:val="28"/>
          <w:szCs w:val="28"/>
        </w:rPr>
        <w:t xml:space="preserve">                           报价时间</w:t>
      </w:r>
      <w:r>
        <w:rPr>
          <w:rFonts w:hint="eastAsia"/>
          <w:sz w:val="28"/>
          <w:szCs w:val="28"/>
          <w:lang w:eastAsia="zh-CN"/>
        </w:rPr>
        <w:t>：</w:t>
      </w:r>
    </w:p>
    <w:p>
      <w:pPr>
        <w:pStyle w:val="13"/>
        <w:rPr>
          <w:rFonts w:hint="eastAsia"/>
          <w:sz w:val="28"/>
          <w:szCs w:val="28"/>
          <w:lang w:eastAsia="zh-CN"/>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sz w:val="24"/>
        </w:rPr>
      </w:pPr>
      <w:r>
        <w:rPr>
          <w:rFonts w:hint="eastAsia"/>
          <w:sz w:val="24"/>
        </w:rPr>
        <w:t>报价供应商须同时提供以下资料：</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宋体"/>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b/>
          <w:sz w:val="24"/>
        </w:rPr>
        <w:t>推荐产品的彩页、产品参数及配置清单、参数偏离情况表、医疗器械注册证、供应商证件、厂家证件、代理商授权书、销售人（授权代表）授权书、厂家售后服务承诺书、广东地区三甲医院客户名单（销售合同）</w:t>
      </w:r>
      <w:r>
        <w:rPr>
          <w:rFonts w:hint="eastAsia"/>
          <w:b/>
          <w:sz w:val="24"/>
          <w:lang w:val="en-US" w:eastAsia="zh-CN"/>
        </w:rPr>
        <w:t>等。</w:t>
      </w:r>
    </w:p>
    <w:p>
      <w:pPr>
        <w:spacing w:line="440" w:lineRule="exact"/>
        <w:jc w:val="center"/>
        <w:rPr>
          <w:b/>
          <w:sz w:val="32"/>
          <w:szCs w:val="32"/>
        </w:rPr>
      </w:pPr>
      <w:r>
        <w:rPr>
          <w:rFonts w:hint="eastAsia"/>
          <w:b/>
          <w:sz w:val="32"/>
          <w:szCs w:val="32"/>
        </w:rPr>
        <w:t>参数偏离情况表</w:t>
      </w:r>
    </w:p>
    <w:p>
      <w:pPr>
        <w:spacing w:line="440" w:lineRule="exact"/>
        <w:rPr>
          <w:sz w:val="24"/>
        </w:rPr>
      </w:pPr>
      <w:r>
        <w:rPr>
          <w:rFonts w:hint="eastAsia"/>
          <w:sz w:val="24"/>
        </w:rPr>
        <w:t>偏离表填写要求：</w:t>
      </w:r>
    </w:p>
    <w:p>
      <w:pPr>
        <w:spacing w:line="440" w:lineRule="exact"/>
        <w:rPr>
          <w:sz w:val="24"/>
        </w:rPr>
      </w:pPr>
      <w:r>
        <w:rPr>
          <w:rFonts w:hint="eastAsia"/>
          <w:sz w:val="24"/>
        </w:rPr>
        <w:t>1、请提供参数响应情况，正负偏离参数备注说明。</w:t>
      </w:r>
    </w:p>
    <w:p>
      <w:pPr>
        <w:spacing w:line="440" w:lineRule="exact"/>
        <w:rPr>
          <w:sz w:val="24"/>
        </w:rPr>
      </w:pPr>
      <w:r>
        <w:rPr>
          <w:rFonts w:hint="eastAsia"/>
          <w:sz w:val="24"/>
        </w:rPr>
        <w:t>2、明确写明在各组成部分名称下的主要或重要参数名称及技术参数。</w:t>
      </w:r>
    </w:p>
    <w:p>
      <w:pPr>
        <w:spacing w:line="440" w:lineRule="exact"/>
        <w:rPr>
          <w:sz w:val="24"/>
        </w:rPr>
      </w:pPr>
      <w:r>
        <w:rPr>
          <w:rFonts w:hint="eastAsia" w:ascii="宋体" w:hAnsi="宋体"/>
          <w:sz w:val="24"/>
        </w:rPr>
        <w:t>3、报价应包含完成项目所需的一切费用。</w:t>
      </w:r>
    </w:p>
    <w:p>
      <w:pPr>
        <w:spacing w:line="440" w:lineRule="exact"/>
        <w:rPr>
          <w:sz w:val="24"/>
        </w:rPr>
      </w:pPr>
      <w:r>
        <w:rPr>
          <w:rFonts w:hint="eastAsia"/>
          <w:sz w:val="24"/>
        </w:rPr>
        <w:t>4、提供推荐方案的产品配置清单。</w:t>
      </w:r>
    </w:p>
    <w:p>
      <w:pPr>
        <w:spacing w:line="440" w:lineRule="exact"/>
        <w:rPr>
          <w:sz w:val="24"/>
        </w:rPr>
      </w:pPr>
      <w:r>
        <w:rPr>
          <w:rFonts w:hint="eastAsia"/>
          <w:sz w:val="24"/>
        </w:rPr>
        <w:t>5、其中带★的参数 是必须完全响应的参数。</w:t>
      </w:r>
    </w:p>
    <w:p>
      <w:pPr>
        <w:spacing w:line="440" w:lineRule="exact"/>
        <w:rPr>
          <w:sz w:val="24"/>
        </w:rPr>
      </w:pPr>
      <w:r>
        <w:rPr>
          <w:rFonts w:hint="eastAsia"/>
          <w:sz w:val="24"/>
        </w:rPr>
        <w:t>6、供应商提供的产品负偏离占比不超过10%。</w:t>
      </w:r>
    </w:p>
    <w:p>
      <w:pPr>
        <w:spacing w:line="380" w:lineRule="exact"/>
        <w:rPr>
          <w:rFonts w:ascii="宋体" w:hAnsi="宋体"/>
          <w:szCs w:val="21"/>
        </w:rPr>
      </w:pPr>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sz w:val="24"/>
        </w:rPr>
        <w:t>（请按用户需求里的技术要求及配置要求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10"/>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5732"/>
        <w:gridCol w:w="154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5732" w:type="dxa"/>
          </w:tcPr>
          <w:p>
            <w:pPr>
              <w:spacing w:line="440" w:lineRule="exact"/>
              <w:jc w:val="center"/>
              <w:rPr>
                <w:rFonts w:ascii="仿宋" w:hAnsi="仿宋" w:eastAsia="仿宋" w:cs="仿宋"/>
                <w:color w:val="auto"/>
                <w:sz w:val="24"/>
                <w:highlight w:val="none"/>
              </w:rPr>
            </w:pPr>
            <w:r>
              <w:rPr>
                <w:rFonts w:hint="eastAsia" w:ascii="仿宋" w:hAnsi="仿宋" w:eastAsia="仿宋" w:cs="仿宋"/>
                <w:color w:val="auto"/>
                <w:sz w:val="24"/>
                <w:highlight w:val="none"/>
              </w:rPr>
              <w:t>参数要求</w:t>
            </w:r>
          </w:p>
        </w:tc>
        <w:tc>
          <w:tcPr>
            <w:tcW w:w="1547" w:type="dxa"/>
            <w:vAlign w:val="center"/>
          </w:tcPr>
          <w:p>
            <w:pPr>
              <w:tabs>
                <w:tab w:val="left" w:pos="720"/>
              </w:tabs>
              <w:spacing w:line="440" w:lineRule="exact"/>
              <w:jc w:val="center"/>
              <w:rPr>
                <w:rFonts w:ascii="宋体" w:hAnsi="宋体" w:cs="宋体"/>
                <w:bCs/>
                <w:color w:val="auto"/>
                <w:szCs w:val="21"/>
                <w:highlight w:val="none"/>
              </w:rPr>
            </w:pPr>
            <w:r>
              <w:rPr>
                <w:rFonts w:hint="eastAsia" w:ascii="宋体" w:hAnsi="宋体" w:cs="宋体"/>
                <w:bCs/>
                <w:color w:val="auto"/>
                <w:szCs w:val="21"/>
                <w:highlight w:val="none"/>
              </w:rPr>
              <w:t>完全响应或</w:t>
            </w:r>
          </w:p>
          <w:p>
            <w:pPr>
              <w:autoSpaceDE w:val="0"/>
              <w:autoSpaceDN w:val="0"/>
              <w:adjustRightInd w:val="0"/>
              <w:spacing w:line="440" w:lineRule="exact"/>
              <w:jc w:val="center"/>
              <w:rPr>
                <w:rFonts w:hint="eastAsia" w:ascii="宋体" w:hAnsi="宋体" w:eastAsia="宋体" w:cs="宋体"/>
                <w:bCs/>
                <w:color w:val="auto"/>
                <w:kern w:val="0"/>
                <w:sz w:val="21"/>
                <w:szCs w:val="21"/>
                <w:highlight w:val="none"/>
                <w:lang w:val="zh-CN" w:eastAsia="zh-CN" w:bidi="ar-SA"/>
              </w:rPr>
            </w:pPr>
            <w:r>
              <w:rPr>
                <w:rFonts w:hint="eastAsia" w:ascii="宋体" w:hAnsi="宋体" w:cs="宋体"/>
                <w:bCs/>
                <w:color w:val="auto"/>
                <w:szCs w:val="21"/>
                <w:highlight w:val="none"/>
              </w:rPr>
              <w:t>正/负偏离</w:t>
            </w:r>
          </w:p>
        </w:tc>
        <w:tc>
          <w:tcPr>
            <w:tcW w:w="1076" w:type="dxa"/>
            <w:vAlign w:val="center"/>
          </w:tcPr>
          <w:p>
            <w:pPr>
              <w:autoSpaceDE w:val="0"/>
              <w:autoSpaceDN w:val="0"/>
              <w:adjustRightInd w:val="0"/>
              <w:spacing w:line="440" w:lineRule="exact"/>
              <w:jc w:val="center"/>
              <w:rPr>
                <w:rFonts w:hint="eastAsia" w:ascii="宋体" w:hAnsi="宋体" w:eastAsia="宋体" w:cs="宋体"/>
                <w:bCs/>
                <w:color w:val="auto"/>
                <w:kern w:val="0"/>
                <w:sz w:val="21"/>
                <w:szCs w:val="21"/>
                <w:highlight w:val="none"/>
                <w:lang w:val="zh-CN" w:eastAsia="zh-CN" w:bidi="ar-SA"/>
              </w:rPr>
            </w:pPr>
            <w:r>
              <w:rPr>
                <w:rFonts w:hint="eastAsia" w:ascii="宋体" w:hAnsi="宋体" w:cs="宋体"/>
                <w:bCs/>
                <w:color w:val="auto"/>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1</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用途:为内镜清洗中心提供无菌水</w:t>
            </w:r>
            <w:r>
              <w:rPr>
                <w:rFonts w:eastAsia="仿宋" w:cs="Calibri"/>
                <w:color w:val="000000"/>
                <w:sz w:val="24"/>
              </w:rPr>
              <w:t> </w:t>
            </w:r>
          </w:p>
        </w:tc>
        <w:tc>
          <w:tcPr>
            <w:tcW w:w="1547" w:type="dxa"/>
            <w:vAlign w:val="center"/>
          </w:tcPr>
          <w:p>
            <w:pPr>
              <w:spacing w:line="240" w:lineRule="auto"/>
              <w:rPr>
                <w:rFonts w:hint="eastAsia" w:ascii="宋体" w:hAnsi="宋体" w:eastAsia="宋体" w:cs="宋体"/>
                <w:b/>
                <w:color w:val="auto"/>
                <w:kern w:val="0"/>
                <w:sz w:val="21"/>
                <w:szCs w:val="21"/>
                <w:highlight w:val="none"/>
              </w:rPr>
            </w:pPr>
          </w:p>
        </w:tc>
        <w:tc>
          <w:tcPr>
            <w:tcW w:w="1076" w:type="dxa"/>
            <w:vAlign w:val="center"/>
          </w:tcPr>
          <w:p>
            <w:pPr>
              <w:spacing w:line="240" w:lineRule="auto"/>
              <w:rPr>
                <w:rFonts w:hint="eastAsia" w:ascii="宋体" w:hAnsi="宋体" w:eastAsia="宋体" w:cs="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2</w:t>
            </w:r>
          </w:p>
        </w:tc>
        <w:tc>
          <w:tcPr>
            <w:tcW w:w="5732" w:type="dxa"/>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产水量:</w:t>
            </w:r>
            <w:r>
              <w:rPr>
                <w:rFonts w:ascii="仿宋" w:hAnsi="仿宋" w:eastAsia="仿宋" w:cs="仿宋"/>
                <w:color w:val="000000"/>
                <w:sz w:val="24"/>
              </w:rPr>
              <w:t>10</w:t>
            </w:r>
            <w:r>
              <w:rPr>
                <w:rFonts w:hint="eastAsia" w:ascii="仿宋" w:hAnsi="仿宋" w:eastAsia="仿宋" w:cs="仿宋"/>
                <w:color w:val="000000"/>
                <w:sz w:val="24"/>
              </w:rPr>
              <w:t>00L/h/套（25℃）</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3</w:t>
            </w:r>
          </w:p>
        </w:tc>
        <w:tc>
          <w:tcPr>
            <w:tcW w:w="5732" w:type="dxa"/>
            <w:vAlign w:val="top"/>
          </w:tcPr>
          <w:p>
            <w:pP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水利用率 ≥60%</w:t>
            </w:r>
            <w:r>
              <w:rPr>
                <w:rFonts w:eastAsia="仿宋" w:cs="Calibri"/>
                <w:color w:val="000000"/>
                <w:sz w:val="24"/>
              </w:rPr>
              <w:t> </w:t>
            </w:r>
            <w:r>
              <w:rPr>
                <w:rFonts w:hint="eastAsia" w:eastAsia="仿宋" w:cs="Calibri"/>
                <w:color w:val="000000"/>
                <w:sz w:val="24"/>
                <w:lang w:eastAsia="zh-CN"/>
              </w:rPr>
              <w:t>，</w:t>
            </w:r>
            <w:r>
              <w:rPr>
                <w:rFonts w:hint="eastAsia" w:ascii="仿宋" w:hAnsi="仿宋" w:eastAsia="仿宋" w:cs="仿宋"/>
                <w:color w:val="000000"/>
                <w:sz w:val="24"/>
              </w:rPr>
              <w:t>脱盐率 ≥ 99%</w:t>
            </w:r>
            <w:r>
              <w:rPr>
                <w:rFonts w:eastAsia="仿宋" w:cs="Calibri"/>
                <w:color w:val="000000"/>
                <w:sz w:val="24"/>
              </w:rPr>
              <w:t>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产水水质 </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4.1</w:t>
            </w:r>
          </w:p>
        </w:tc>
        <w:tc>
          <w:tcPr>
            <w:tcW w:w="5732" w:type="dxa"/>
            <w:vAlign w:val="top"/>
          </w:tcPr>
          <w:p>
            <w:pPr>
              <w:spacing w:line="30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水质符合G</w:t>
            </w:r>
            <w:r>
              <w:rPr>
                <w:rFonts w:ascii="仿宋" w:hAnsi="仿宋" w:eastAsia="仿宋" w:cs="仿宋"/>
                <w:color w:val="000000"/>
                <w:sz w:val="24"/>
              </w:rPr>
              <w:t>B5749</w:t>
            </w:r>
            <w:r>
              <w:rPr>
                <w:rFonts w:hint="eastAsia" w:ascii="仿宋" w:hAnsi="仿宋" w:eastAsia="仿宋" w:cs="仿宋"/>
                <w:color w:val="000000"/>
                <w:sz w:val="24"/>
              </w:rPr>
              <w:t>的规定，并保证细菌总数≤10CFU/100ml</w:t>
            </w:r>
            <w:r>
              <w:rPr>
                <w:rFonts w:eastAsia="仿宋" w:cs="Calibri"/>
                <w:color w:val="000000"/>
                <w:sz w:val="24"/>
              </w:rPr>
              <w:t> </w:t>
            </w:r>
            <w:r>
              <w:rPr>
                <w:rFonts w:hint="eastAsia" w:ascii="仿宋" w:hAnsi="仿宋" w:eastAsia="仿宋" w:cs="仿宋"/>
                <w:color w:val="000000"/>
                <w:sz w:val="24"/>
              </w:rPr>
              <w:t>，生产纯水的滤膜孔径为0.</w:t>
            </w:r>
            <w:r>
              <w:rPr>
                <w:rFonts w:ascii="仿宋" w:hAnsi="仿宋" w:eastAsia="仿宋" w:cs="仿宋"/>
                <w:color w:val="000000"/>
                <w:sz w:val="24"/>
              </w:rPr>
              <w:t>0001um.</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4.2</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符合卫计局颁布实施WS507-2016软式内镜清洗消毒技术规范。</w:t>
            </w:r>
            <w:r>
              <w:rPr>
                <w:rFonts w:eastAsia="仿宋" w:cs="Calibri"/>
                <w:color w:val="000000"/>
                <w:sz w:val="24"/>
              </w:rPr>
              <w:t>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5</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 xml:space="preserve">设备主要技术要求/标准性能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5.1</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采用P</w:t>
            </w:r>
            <w:r>
              <w:rPr>
                <w:rFonts w:ascii="仿宋" w:hAnsi="仿宋" w:eastAsia="仿宋" w:cs="仿宋"/>
                <w:color w:val="000000"/>
                <w:sz w:val="24"/>
              </w:rPr>
              <w:t>LC</w:t>
            </w:r>
            <w:r>
              <w:rPr>
                <w:rFonts w:hint="eastAsia" w:ascii="仿宋" w:hAnsi="仿宋" w:eastAsia="仿宋" w:cs="仿宋"/>
                <w:color w:val="000000"/>
                <w:sz w:val="24"/>
              </w:rPr>
              <w:t>智能人机控制系统，全自动控制操作，全程监控设备运行的状态，具备自动液位保护、压力故障保护停机、水质超标报警排放、支持历史记录查询。</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5.2</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预处理控制阀采用全自动工作模式，根据设置的时间参数自动进入到再生冲洗状态，保证预处理系统持续稳定的过滤处理能力。</w:t>
            </w:r>
            <w:r>
              <w:rPr>
                <w:rFonts w:eastAsia="仿宋" w:cs="Calibri"/>
                <w:color w:val="000000"/>
                <w:sz w:val="24"/>
              </w:rPr>
              <w:t> </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5.3</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反渗透主机部分设计开/关机自动冲洗、脉动循环正反洗、水满待机冲洗功能，有效避免膜表面高浓度离子附着堆积和微生物滋生，防止反渗透膜性能快速衰减。</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5.4</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设备配备各种显示仪表，能够实时在线显示水质，流量，压力等信息。</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5.5</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供水管路采用蛇形循环方式，设置定时循环循环模式，当长时间不用水，启动循环模式，避免管路中死水形成，防止细菌滋生。</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5.6</w:t>
            </w:r>
          </w:p>
        </w:tc>
        <w:tc>
          <w:tcPr>
            <w:tcW w:w="5732" w:type="dxa"/>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主机采用一体化设计，结构紧凑，占地面积小，节约用户安装空间。</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6</w:t>
            </w:r>
          </w:p>
        </w:tc>
        <w:tc>
          <w:tcPr>
            <w:tcW w:w="5732" w:type="dxa"/>
            <w:vAlign w:val="top"/>
          </w:tcPr>
          <w:p>
            <w:pPr>
              <w:rPr>
                <w:rFonts w:hint="default" w:ascii="仿宋" w:hAnsi="仿宋" w:eastAsia="仿宋" w:cs="仿宋"/>
                <w:color w:val="000000"/>
                <w:kern w:val="2"/>
                <w:sz w:val="24"/>
                <w:szCs w:val="24"/>
                <w:lang w:val="en-US" w:eastAsia="zh-CN" w:bidi="ar-SA"/>
              </w:rPr>
            </w:pPr>
            <w:r>
              <w:rPr>
                <w:rFonts w:hint="eastAsia" w:ascii="仿宋" w:hAnsi="仿宋" w:eastAsia="仿宋" w:cs="仿宋"/>
                <w:color w:val="000000"/>
                <w:sz w:val="24"/>
              </w:rPr>
              <w:t>控制方式：采用智能人机控制方式，一键自动运行，电气原件均采用知名品牌，性能稳定，故障率低，保证设备安全稳定的运行。</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预处理系统</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7.1</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预处理系统主要由原水箱，原水泵，石英砂过滤器，活性炭过滤器，软化过滤器，保安过滤器组成。</w:t>
            </w:r>
          </w:p>
        </w:tc>
        <w:tc>
          <w:tcPr>
            <w:tcW w:w="1547" w:type="dxa"/>
            <w:vAlign w:val="center"/>
          </w:tcPr>
          <w:p>
            <w:pPr>
              <w:spacing w:line="240" w:lineRule="auto"/>
              <w:rPr>
                <w:rFonts w:hint="eastAsia" w:ascii="宋体" w:hAnsi="宋体" w:eastAsia="宋体" w:cs="宋体"/>
                <w:b/>
                <w:color w:val="auto"/>
                <w:sz w:val="21"/>
                <w:szCs w:val="21"/>
                <w:highlight w:val="none"/>
              </w:rPr>
            </w:pPr>
          </w:p>
        </w:tc>
        <w:tc>
          <w:tcPr>
            <w:tcW w:w="1076" w:type="dxa"/>
            <w:vAlign w:val="center"/>
          </w:tcPr>
          <w:p>
            <w:pPr>
              <w:spacing w:line="240" w:lineRule="auto"/>
              <w:rPr>
                <w:rFonts w:hint="eastAsia" w:ascii="宋体" w:hAnsi="宋体" w:eastAsia="宋体" w:cs="宋体"/>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7.2</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原水箱，采用卫生级P</w:t>
            </w:r>
            <w:r>
              <w:rPr>
                <w:rFonts w:ascii="仿宋" w:hAnsi="仿宋" w:eastAsia="仿宋" w:cs="仿宋"/>
                <w:color w:val="000000"/>
                <w:sz w:val="24"/>
              </w:rPr>
              <w:t>E</w:t>
            </w:r>
            <w:r>
              <w:rPr>
                <w:rFonts w:hint="eastAsia" w:ascii="仿宋" w:hAnsi="仿宋" w:eastAsia="仿宋" w:cs="仿宋"/>
                <w:color w:val="000000"/>
                <w:sz w:val="24"/>
              </w:rPr>
              <w:t>材质，能有效的缓冲自来水压力，保证预处理系统具有恒定的压力和流量，达到更理想的处理效果。配备水位控制器，控制水箱自动补水和系统的自动运行。</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7.3</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原水泵，过流部件为304不锈钢，流量2</w:t>
            </w:r>
            <w:r>
              <w:rPr>
                <w:rFonts w:ascii="仿宋" w:hAnsi="仿宋" w:eastAsia="仿宋" w:cs="仿宋"/>
                <w:color w:val="000000"/>
                <w:sz w:val="24"/>
              </w:rPr>
              <w:t>m</w:t>
            </w:r>
            <w:r>
              <w:rPr>
                <w:rFonts w:ascii="仿宋" w:hAnsi="仿宋" w:eastAsia="仿宋" w:cs="仿宋"/>
                <w:color w:val="000000"/>
                <w:sz w:val="24"/>
                <w:vertAlign w:val="superscript"/>
              </w:rPr>
              <w:t>3</w:t>
            </w:r>
            <w:r>
              <w:rPr>
                <w:rFonts w:ascii="仿宋" w:hAnsi="仿宋" w:eastAsia="仿宋" w:cs="仿宋"/>
                <w:color w:val="000000"/>
                <w:sz w:val="24"/>
              </w:rPr>
              <w:t>/h.</w:t>
            </w:r>
            <w:r>
              <w:rPr>
                <w:rFonts w:hint="eastAsia" w:ascii="仿宋" w:hAnsi="仿宋" w:eastAsia="仿宋" w:cs="仿宋"/>
                <w:color w:val="000000"/>
                <w:sz w:val="24"/>
              </w:rPr>
              <w:t>扬程大于30</w:t>
            </w:r>
            <w:r>
              <w:rPr>
                <w:rFonts w:ascii="仿宋" w:hAnsi="仿宋" w:eastAsia="仿宋" w:cs="仿宋"/>
                <w:color w:val="000000"/>
                <w:sz w:val="24"/>
              </w:rPr>
              <w:t>m</w:t>
            </w:r>
            <w:r>
              <w:rPr>
                <w:rFonts w:hint="eastAsia" w:ascii="仿宋" w:hAnsi="仿宋" w:eastAsia="仿宋" w:cs="仿宋"/>
                <w:color w:val="000000"/>
                <w:sz w:val="24"/>
              </w:rPr>
              <w:t>，能为预处理提供足够的压力和流量。</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7.4</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石英砂过滤器，内填充6-8目的石英砂颗粒，能有效截留自来水中的泥沙，铁锈，胶体，有机物等肉眼可见物质，降低进水浊度。</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7.5</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活性炭过滤器，内填充由优质果壳烧制而成的活性炭，降低水中异色，异味，余氯及氯的衍生物，防止膜快速氧化。</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lang w:val="en-US" w:eastAsia="zh-CN"/>
              </w:rPr>
              <w:t>7.6</w:t>
            </w:r>
          </w:p>
        </w:tc>
        <w:tc>
          <w:tcPr>
            <w:tcW w:w="5732" w:type="dxa"/>
            <w:vAlign w:val="top"/>
          </w:tcPr>
          <w:p>
            <w:pPr>
              <w:spacing w:line="440" w:lineRule="exact"/>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软化过滤器，内填充阳离子交换树脂，通过离子交换吸附作用，降低水中钙镁离子浓度，防止膜结垢。并通过定期向盐箱中加入再生剂进行再生，是树脂重新具有交换能力。</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rPr>
              <w:t>▲</w:t>
            </w:r>
            <w:r>
              <w:rPr>
                <w:rFonts w:hint="eastAsia" w:ascii="仿宋" w:hAnsi="仿宋" w:eastAsia="仿宋" w:cs="仿宋"/>
                <w:color w:val="000000"/>
                <w:sz w:val="24"/>
              </w:rPr>
              <w:t>8</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纯水输送系统：含压力控制器及304自吸式射流输送泵，输送泵配压力控制器，终端设备用水启用，停用水时根据压力自动进入待机状态。</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rPr>
              <w:t>▲</w:t>
            </w:r>
            <w:r>
              <w:rPr>
                <w:rFonts w:hint="eastAsia" w:ascii="仿宋" w:hAnsi="仿宋" w:eastAsia="仿宋" w:cs="仿宋"/>
                <w:color w:val="000000"/>
                <w:sz w:val="24"/>
              </w:rPr>
              <w:t>9</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主机采用开放式喷塑碳钢结构，底部自带万向轮，最大限度降低设备运行噪音，外观美观；采用模块化设计和安装，如果医院的生产能力需要扩大，能够方便和容易地增加模块扩大设备的产水能力，具有极好的可升级能力。</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rPr>
              <w:t>▲</w:t>
            </w:r>
            <w:r>
              <w:rPr>
                <w:rFonts w:hint="eastAsia" w:ascii="仿宋" w:hAnsi="仿宋" w:eastAsia="仿宋" w:cs="仿宋"/>
                <w:color w:val="000000"/>
                <w:sz w:val="24"/>
                <w:lang w:val="en-US" w:eastAsia="zh-CN"/>
              </w:rPr>
              <w:t>10</w:t>
            </w:r>
          </w:p>
        </w:tc>
        <w:tc>
          <w:tcPr>
            <w:tcW w:w="5732" w:type="dxa"/>
            <w:vAlign w:val="top"/>
          </w:tcPr>
          <w:p>
            <w:pP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消毒系统;消毒采用化学消毒方式，结合紫外线回路消毒，输送管道采用循环方式，有效抑制细菌滋生。</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center"/>
              <w:rPr>
                <w:rFonts w:hint="eastAsia" w:ascii="仿宋" w:hAnsi="仿宋" w:eastAsia="仿宋" w:cs="仿宋"/>
                <w:color w:val="000000"/>
                <w:kern w:val="2"/>
                <w:sz w:val="24"/>
                <w:szCs w:val="24"/>
                <w:lang w:val="en-US" w:eastAsia="zh-CN" w:bidi="ar-SA"/>
              </w:rPr>
            </w:pPr>
            <w:r>
              <w:rPr>
                <w:rFonts w:ascii="仿宋" w:hAnsi="仿宋" w:eastAsia="仿宋" w:cs="仿宋"/>
                <w:color w:val="000000"/>
                <w:sz w:val="24"/>
              </w:rPr>
              <w:t>▲</w:t>
            </w:r>
            <w:r>
              <w:rPr>
                <w:rFonts w:hint="eastAsia" w:ascii="仿宋" w:hAnsi="仿宋" w:eastAsia="仿宋" w:cs="仿宋"/>
                <w:color w:val="000000"/>
                <w:sz w:val="24"/>
              </w:rPr>
              <w:t>1</w:t>
            </w:r>
            <w:r>
              <w:rPr>
                <w:rFonts w:hint="eastAsia" w:ascii="仿宋" w:hAnsi="仿宋" w:eastAsia="仿宋" w:cs="仿宋"/>
                <w:color w:val="000000"/>
                <w:sz w:val="24"/>
                <w:lang w:val="en-US" w:eastAsia="zh-CN"/>
              </w:rPr>
              <w:t>1</w:t>
            </w:r>
          </w:p>
        </w:tc>
        <w:tc>
          <w:tcPr>
            <w:tcW w:w="5732" w:type="dxa"/>
            <w:vAlign w:val="top"/>
          </w:tcPr>
          <w:p>
            <w:pPr>
              <w:spacing w:line="440" w:lineRule="exact"/>
              <w:rPr>
                <w:rFonts w:hint="eastAsia" w:ascii="仿宋" w:hAnsi="仿宋" w:eastAsia="仿宋" w:cs="仿宋"/>
                <w:b/>
                <w:color w:val="000000"/>
                <w:kern w:val="2"/>
                <w:sz w:val="24"/>
                <w:szCs w:val="24"/>
                <w:lang w:val="en-US" w:eastAsia="zh-CN" w:bidi="ar-SA"/>
              </w:rPr>
            </w:pPr>
            <w:r>
              <w:rPr>
                <w:rFonts w:hint="eastAsia" w:ascii="仿宋" w:hAnsi="仿宋" w:eastAsia="仿宋" w:cs="仿宋"/>
                <w:color w:val="000000"/>
                <w:sz w:val="24"/>
              </w:rPr>
              <w:t>系统具有较强的故障诊断能力，可根据压力、流量、水质等参数的偏离情况进行预判告警和指示；设备设有原水缺水、停电、过载、过流的自动保护功能，确保设备自身安全；反渗透膜自动冲洗，开机、关机自动大流量冲洗，排出淤积水，同时运行中自动检测工作状况，随时进行冲洗；具备电器过流报警与保护装置，提高操作人员的安全性和设备运行的稳定性。</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top"/>
          </w:tcPr>
          <w:p>
            <w:pPr>
              <w:spacing w:line="44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12</w:t>
            </w:r>
            <w:r>
              <w:rPr>
                <w:rFonts w:hint="eastAsia" w:ascii="宋体" w:hAnsi="宋体" w:cs="宋体"/>
                <w:kern w:val="0"/>
                <w:szCs w:val="21"/>
                <w:highlight w:val="none"/>
                <w:lang w:bidi="ar"/>
              </w:rPr>
              <w:t>★</w:t>
            </w:r>
          </w:p>
        </w:tc>
        <w:tc>
          <w:tcPr>
            <w:tcW w:w="5732" w:type="dxa"/>
            <w:vAlign w:val="top"/>
          </w:tcPr>
          <w:p>
            <w:pPr>
              <w:spacing w:line="440" w:lineRule="exact"/>
              <w:rPr>
                <w:rFonts w:hint="eastAsia" w:ascii="宋体" w:hAnsi="宋体" w:eastAsia="宋体" w:cs="宋体"/>
                <w:kern w:val="2"/>
                <w:sz w:val="21"/>
                <w:szCs w:val="21"/>
                <w:highlight w:val="none"/>
                <w:lang w:val="en-US" w:eastAsia="zh-CN" w:bidi="ar-SA"/>
              </w:rPr>
            </w:pPr>
            <w:r>
              <w:rPr>
                <w:rFonts w:hint="eastAsia" w:ascii="仿宋" w:hAnsi="仿宋" w:eastAsia="仿宋" w:cs="仿宋"/>
                <w:b/>
                <w:sz w:val="24"/>
                <w:highlight w:val="none"/>
              </w:rPr>
              <w:t>若有配套医用耗材：必须提供国家医保耗材代码，必须提供广东省药品电子交易平台的药交ID和联盟区限价。</w:t>
            </w:r>
          </w:p>
        </w:tc>
        <w:tc>
          <w:tcPr>
            <w:tcW w:w="1547" w:type="dxa"/>
            <w:vAlign w:val="center"/>
          </w:tcPr>
          <w:p>
            <w:pPr>
              <w:spacing w:line="240" w:lineRule="auto"/>
              <w:rPr>
                <w:rFonts w:hint="eastAsia" w:ascii="宋体" w:hAnsi="宋体" w:eastAsia="宋体" w:cs="宋体"/>
                <w:color w:val="auto"/>
                <w:sz w:val="21"/>
                <w:szCs w:val="21"/>
                <w:highlight w:val="none"/>
              </w:rPr>
            </w:pPr>
          </w:p>
        </w:tc>
        <w:tc>
          <w:tcPr>
            <w:tcW w:w="1076" w:type="dxa"/>
            <w:vAlign w:val="center"/>
          </w:tcPr>
          <w:p>
            <w:pPr>
              <w:spacing w:line="240" w:lineRule="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6596" w:type="dxa"/>
            <w:gridSpan w:val="2"/>
            <w:vAlign w:val="top"/>
          </w:tcPr>
          <w:p>
            <w:pPr>
              <w:numPr>
                <w:ilvl w:val="0"/>
                <w:numId w:val="0"/>
              </w:numPr>
              <w:spacing w:line="440" w:lineRule="exact"/>
              <w:rPr>
                <w:rFonts w:ascii="仿宋" w:hAnsi="仿宋" w:eastAsia="仿宋" w:cs="仿宋"/>
                <w:b/>
                <w:color w:val="auto"/>
                <w:sz w:val="24"/>
                <w:highlight w:val="none"/>
              </w:rPr>
            </w:pPr>
            <w:r>
              <w:rPr>
                <w:rFonts w:hint="eastAsia" w:ascii="宋体" w:hAnsi="宋体" w:cs="宋体"/>
                <w:color w:val="auto"/>
                <w:kern w:val="0"/>
                <w:szCs w:val="21"/>
                <w:highlight w:val="none"/>
                <w:lang w:val="en-US" w:eastAsia="zh-CN" w:bidi="ar"/>
              </w:rPr>
              <w:t>13、</w:t>
            </w:r>
            <w:r>
              <w:rPr>
                <w:rFonts w:hint="eastAsia" w:ascii="仿宋" w:hAnsi="仿宋" w:eastAsia="仿宋" w:cs="仿宋"/>
                <w:b/>
                <w:color w:val="auto"/>
                <w:sz w:val="24"/>
                <w:highlight w:val="none"/>
                <w:lang w:val="en-US" w:eastAsia="zh-CN"/>
              </w:rPr>
              <w:t>每套</w:t>
            </w:r>
            <w:r>
              <w:rPr>
                <w:rFonts w:hint="eastAsia" w:ascii="仿宋" w:hAnsi="仿宋" w:eastAsia="仿宋" w:cs="仿宋"/>
                <w:b/>
                <w:color w:val="auto"/>
                <w:sz w:val="24"/>
                <w:highlight w:val="none"/>
              </w:rPr>
              <w:t>设备配置要求：</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861"/>
              <w:gridCol w:w="2327"/>
              <w:gridCol w:w="753"/>
              <w:gridCol w:w="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szCs w:val="21"/>
                    </w:rPr>
                  </w:pPr>
                  <w:r>
                    <w:rPr>
                      <w:rFonts w:hint="eastAsia" w:ascii="仿宋" w:hAnsi="仿宋" w:eastAsia="仿宋"/>
                      <w:szCs w:val="21"/>
                    </w:rPr>
                    <w:t>序号</w:t>
                  </w:r>
                </w:p>
              </w:tc>
              <w:tc>
                <w:tcPr>
                  <w:tcW w:w="2668" w:type="dxa"/>
                  <w:noWrap w:val="0"/>
                  <w:vAlign w:val="top"/>
                </w:tcPr>
                <w:p>
                  <w:pPr>
                    <w:spacing w:line="440" w:lineRule="exact"/>
                    <w:rPr>
                      <w:rFonts w:hint="eastAsia" w:ascii="仿宋" w:hAnsi="仿宋" w:eastAsia="仿宋"/>
                      <w:szCs w:val="21"/>
                    </w:rPr>
                  </w:pPr>
                  <w:r>
                    <w:rPr>
                      <w:rFonts w:hint="eastAsia" w:ascii="仿宋" w:hAnsi="仿宋" w:eastAsia="仿宋"/>
                      <w:szCs w:val="21"/>
                    </w:rPr>
                    <w:t>名称</w:t>
                  </w:r>
                </w:p>
              </w:tc>
              <w:tc>
                <w:tcPr>
                  <w:tcW w:w="2956" w:type="dxa"/>
                  <w:noWrap w:val="0"/>
                  <w:vAlign w:val="top"/>
                </w:tcPr>
                <w:p>
                  <w:pPr>
                    <w:spacing w:line="440" w:lineRule="exact"/>
                    <w:rPr>
                      <w:rFonts w:hint="eastAsia" w:ascii="仿宋" w:hAnsi="仿宋" w:eastAsia="仿宋"/>
                      <w:szCs w:val="21"/>
                    </w:rPr>
                  </w:pPr>
                  <w:r>
                    <w:rPr>
                      <w:rFonts w:hint="eastAsia" w:ascii="仿宋" w:hAnsi="仿宋" w:eastAsia="仿宋"/>
                      <w:szCs w:val="21"/>
                    </w:rPr>
                    <w:t>要求</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数量</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卧式泵</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不锈钢卧式多级泵</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szCs w:val="21"/>
                    </w:rPr>
                  </w:pPr>
                  <w:r>
                    <w:rPr>
                      <w:rFonts w:hint="eastAsia" w:ascii="仿宋" w:hAnsi="仿宋" w:eastAsia="仿宋"/>
                      <w:szCs w:val="21"/>
                    </w:rPr>
                    <w:t>2</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压力显示器</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充油抗震型</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2</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szCs w:val="21"/>
                    </w:rPr>
                  </w:pPr>
                  <w:r>
                    <w:rPr>
                      <w:rFonts w:hint="eastAsia" w:ascii="仿宋" w:hAnsi="仿宋" w:eastAsia="仿宋"/>
                      <w:szCs w:val="21"/>
                    </w:rPr>
                    <w:t>3</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石英砂过滤器</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树脂罐、滤材、前置控制系统</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hint="eastAsia" w:ascii="仿宋" w:hAnsi="仿宋" w:eastAsia="仿宋"/>
                      <w:szCs w:val="21"/>
                    </w:rPr>
                  </w:pPr>
                  <w:r>
                    <w:rPr>
                      <w:rFonts w:hint="eastAsia" w:ascii="仿宋" w:hAnsi="仿宋" w:eastAsia="仿宋"/>
                      <w:szCs w:val="21"/>
                    </w:rPr>
                    <w:t>4</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活性炭过滤器</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树脂罐、滤材、前置控制系统</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5</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软化过滤器</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树脂罐、滤材、前置控制系统</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6</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管件</w:t>
                  </w:r>
                </w:p>
              </w:tc>
              <w:tc>
                <w:tcPr>
                  <w:tcW w:w="2956" w:type="dxa"/>
                  <w:noWrap w:val="0"/>
                  <w:vAlign w:val="top"/>
                </w:tcPr>
                <w:p>
                  <w:pPr>
                    <w:spacing w:line="440" w:lineRule="exact"/>
                    <w:rPr>
                      <w:rFonts w:hint="eastAsia" w:ascii="仿宋" w:hAnsi="仿宋" w:eastAsia="仿宋"/>
                      <w:szCs w:val="21"/>
                    </w:rPr>
                  </w:pPr>
                  <w:r>
                    <w:rPr>
                      <w:rFonts w:hint="eastAsia" w:ascii="仿宋" w:hAnsi="仿宋" w:eastAsia="仿宋"/>
                      <w:szCs w:val="21"/>
                    </w:rPr>
                    <w:t>1.6Mpa/硬聚氯乙烯管件</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7</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保安过滤器</w:t>
                  </w:r>
                </w:p>
              </w:tc>
              <w:tc>
                <w:tcPr>
                  <w:tcW w:w="2956" w:type="dxa"/>
                  <w:noWrap w:val="0"/>
                  <w:vAlign w:val="top"/>
                </w:tcPr>
                <w:p>
                  <w:pPr>
                    <w:spacing w:line="440" w:lineRule="exact"/>
                    <w:rPr>
                      <w:rFonts w:hint="eastAsia" w:ascii="仿宋" w:hAnsi="仿宋" w:eastAsia="仿宋"/>
                      <w:szCs w:val="21"/>
                    </w:rPr>
                  </w:pPr>
                  <w:r>
                    <w:rPr>
                      <w:rFonts w:hint="eastAsia" w:ascii="仿宋" w:hAnsi="仿宋" w:eastAsia="仿宋"/>
                      <w:szCs w:val="21"/>
                    </w:rPr>
                    <w:t>3芯20寸PP材质</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3</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8</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立式泵</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不锈钢立式多级泵</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9</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反渗透膜</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聚酰胺复合膜</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4</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10</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膜壳</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SUS304不锈钢</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4</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11</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机架</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碳钢喷塑</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12</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流量显示器</w:t>
                  </w:r>
                </w:p>
              </w:tc>
              <w:tc>
                <w:tcPr>
                  <w:tcW w:w="2956" w:type="dxa"/>
                  <w:noWrap w:val="0"/>
                  <w:vAlign w:val="top"/>
                </w:tcPr>
                <w:p>
                  <w:pPr>
                    <w:spacing w:line="440" w:lineRule="exact"/>
                    <w:rPr>
                      <w:rFonts w:hint="eastAsia" w:ascii="仿宋" w:hAnsi="仿宋" w:eastAsia="仿宋"/>
                      <w:szCs w:val="21"/>
                    </w:rPr>
                  </w:pPr>
                  <w:r>
                    <w:rPr>
                      <w:rFonts w:hint="eastAsia" w:ascii="仿宋" w:hAnsi="仿宋" w:eastAsia="仿宋"/>
                      <w:szCs w:val="21"/>
                    </w:rPr>
                    <w:t>有机玻璃/管道式</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2</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13</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UPVC负压阀</w:t>
                  </w:r>
                </w:p>
              </w:tc>
              <w:tc>
                <w:tcPr>
                  <w:tcW w:w="2956" w:type="dxa"/>
                  <w:noWrap w:val="0"/>
                  <w:vAlign w:val="top"/>
                </w:tcPr>
                <w:p>
                  <w:pPr>
                    <w:spacing w:line="440" w:lineRule="exact"/>
                    <w:rPr>
                      <w:rFonts w:hint="eastAsia" w:ascii="仿宋" w:hAnsi="仿宋" w:eastAsia="仿宋"/>
                      <w:szCs w:val="21"/>
                    </w:rPr>
                  </w:pP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14</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压力显示器</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充油抗震型</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2</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15</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脉冲电磁阀</w:t>
                  </w:r>
                </w:p>
              </w:tc>
              <w:tc>
                <w:tcPr>
                  <w:tcW w:w="2956" w:type="dxa"/>
                  <w:noWrap w:val="0"/>
                  <w:vAlign w:val="top"/>
                </w:tcPr>
                <w:p>
                  <w:pPr>
                    <w:spacing w:line="440" w:lineRule="exact"/>
                    <w:rPr>
                      <w:rFonts w:hint="eastAsia" w:ascii="仿宋" w:hAnsi="仿宋" w:eastAsia="仿宋"/>
                      <w:szCs w:val="21"/>
                    </w:rPr>
                  </w:pPr>
                  <w:r>
                    <w:rPr>
                      <w:rFonts w:hint="eastAsia" w:ascii="仿宋" w:hAnsi="仿宋" w:eastAsia="仿宋"/>
                      <w:szCs w:val="21"/>
                    </w:rPr>
                    <w:t>黄铜材质/常闭型</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16</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脉冲电磁阀</w:t>
                  </w:r>
                </w:p>
              </w:tc>
              <w:tc>
                <w:tcPr>
                  <w:tcW w:w="2956" w:type="dxa"/>
                  <w:noWrap w:val="0"/>
                  <w:vAlign w:val="top"/>
                </w:tcPr>
                <w:p>
                  <w:pPr>
                    <w:spacing w:line="440" w:lineRule="exact"/>
                    <w:rPr>
                      <w:rFonts w:hint="eastAsia" w:ascii="仿宋" w:hAnsi="仿宋" w:eastAsia="仿宋"/>
                      <w:szCs w:val="21"/>
                    </w:rPr>
                  </w:pPr>
                  <w:r>
                    <w:rPr>
                      <w:rFonts w:hint="eastAsia" w:ascii="仿宋" w:hAnsi="仿宋" w:eastAsia="仿宋"/>
                      <w:szCs w:val="21"/>
                    </w:rPr>
                    <w:t>黄铜材质/常闭型</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7</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17</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压力表接头</w:t>
                  </w:r>
                </w:p>
              </w:tc>
              <w:tc>
                <w:tcPr>
                  <w:tcW w:w="2956" w:type="dxa"/>
                  <w:noWrap w:val="0"/>
                  <w:vAlign w:val="top"/>
                </w:tcPr>
                <w:p>
                  <w:pPr>
                    <w:spacing w:line="440" w:lineRule="exact"/>
                    <w:rPr>
                      <w:rFonts w:hint="eastAsia" w:ascii="仿宋" w:hAnsi="仿宋" w:eastAsia="仿宋"/>
                      <w:szCs w:val="21"/>
                    </w:rPr>
                  </w:pP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4</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18</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水质显示系统</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20/200/2000μs/cm</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2</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19</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PE水箱</w:t>
                  </w:r>
                </w:p>
              </w:tc>
              <w:tc>
                <w:tcPr>
                  <w:tcW w:w="2956" w:type="dxa"/>
                  <w:noWrap w:val="0"/>
                  <w:vAlign w:val="center"/>
                </w:tcPr>
                <w:p>
                  <w:pPr>
                    <w:spacing w:line="440" w:lineRule="exact"/>
                    <w:rPr>
                      <w:rFonts w:ascii="仿宋" w:hAnsi="仿宋" w:eastAsia="仿宋"/>
                      <w:szCs w:val="21"/>
                    </w:rPr>
                  </w:pPr>
                  <w:r>
                    <w:rPr>
                      <w:rFonts w:hint="eastAsia" w:ascii="仿宋" w:hAnsi="仿宋" w:eastAsia="仿宋"/>
                      <w:szCs w:val="21"/>
                    </w:rPr>
                    <w:t>1000L</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20</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压力控制系统</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AC220V/50HZ</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21</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压力控制系统</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AC220V/50HZ</w:t>
                  </w: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22</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压力显示器</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23</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PE水箱</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24</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液位控制系统</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220VAC</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4</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25</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液位控制系统</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侧装溢流液位</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26</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卧式泵</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不锈钢卧式多级泵</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27</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电路器件</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28</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电线</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满足线路控制要求</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29</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盐箱（含盐阀）</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30</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离子再生剂</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31</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Y型过滤器（黄铜）</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32</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水泵控制器</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 xml:space="preserve">     </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33</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电源控制系统</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34</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显示控制系统</w:t>
                  </w:r>
                </w:p>
              </w:tc>
              <w:tc>
                <w:tcPr>
                  <w:tcW w:w="2956" w:type="dxa"/>
                  <w:noWrap w:val="0"/>
                  <w:vAlign w:val="center"/>
                </w:tcPr>
                <w:p>
                  <w:pPr>
                    <w:spacing w:line="440" w:lineRule="exact"/>
                    <w:rPr>
                      <w:rFonts w:hint="eastAsia" w:ascii="仿宋" w:hAnsi="仿宋" w:eastAsia="仿宋"/>
                      <w:szCs w:val="21"/>
                    </w:rPr>
                  </w:pPr>
                  <w:r>
                    <w:rPr>
                      <w:rFonts w:hint="eastAsia" w:ascii="仿宋" w:hAnsi="仿宋" w:eastAsia="仿宋"/>
                      <w:szCs w:val="21"/>
                    </w:rPr>
                    <w:t>智能人机界面</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35</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PE水箱</w:t>
                  </w:r>
                </w:p>
              </w:tc>
              <w:tc>
                <w:tcPr>
                  <w:tcW w:w="2956" w:type="dxa"/>
                  <w:noWrap w:val="0"/>
                  <w:vAlign w:val="center"/>
                </w:tcPr>
                <w:p>
                  <w:pPr>
                    <w:spacing w:line="440" w:lineRule="exact"/>
                    <w:rPr>
                      <w:rFonts w:ascii="仿宋" w:hAnsi="仿宋" w:eastAsia="仿宋"/>
                      <w:szCs w:val="21"/>
                    </w:rPr>
                  </w:pPr>
                  <w:r>
                    <w:rPr>
                      <w:rFonts w:hint="eastAsia" w:ascii="仿宋" w:hAnsi="仿宋" w:eastAsia="仿宋"/>
                      <w:szCs w:val="21"/>
                    </w:rPr>
                    <w:t>50L</w:t>
                  </w: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36</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计量泵</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37</w:t>
                  </w:r>
                </w:p>
              </w:tc>
              <w:tc>
                <w:tcPr>
                  <w:tcW w:w="2668" w:type="dxa"/>
                  <w:noWrap w:val="0"/>
                  <w:vAlign w:val="center"/>
                </w:tcPr>
                <w:p>
                  <w:pPr>
                    <w:spacing w:line="440" w:lineRule="exact"/>
                    <w:rPr>
                      <w:rFonts w:hint="eastAsia" w:ascii="仿宋" w:hAnsi="仿宋" w:eastAsia="仿宋"/>
                      <w:szCs w:val="21"/>
                    </w:rPr>
                  </w:pPr>
                  <w:r>
                    <w:rPr>
                      <w:rFonts w:hint="eastAsia" w:ascii="仿宋" w:hAnsi="仿宋" w:eastAsia="仿宋"/>
                      <w:szCs w:val="21"/>
                    </w:rPr>
                    <w:t>灭菌系统</w:t>
                  </w:r>
                </w:p>
              </w:tc>
              <w:tc>
                <w:tcPr>
                  <w:tcW w:w="2956" w:type="dxa"/>
                  <w:noWrap w:val="0"/>
                  <w:vAlign w:val="center"/>
                </w:tcPr>
                <w:p>
                  <w:pPr>
                    <w:spacing w:line="440" w:lineRule="exact"/>
                    <w:rPr>
                      <w:rFonts w:hint="eastAsia" w:ascii="仿宋" w:hAnsi="仿宋" w:eastAsia="仿宋"/>
                      <w:szCs w:val="21"/>
                    </w:rPr>
                  </w:pPr>
                </w:p>
              </w:tc>
              <w:tc>
                <w:tcPr>
                  <w:tcW w:w="969" w:type="dxa"/>
                  <w:noWrap w:val="0"/>
                  <w:vAlign w:val="center"/>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38</w:t>
                  </w:r>
                </w:p>
              </w:tc>
              <w:tc>
                <w:tcPr>
                  <w:tcW w:w="2668" w:type="dxa"/>
                  <w:noWrap w:val="0"/>
                  <w:vAlign w:val="top"/>
                </w:tcPr>
                <w:p>
                  <w:pPr>
                    <w:spacing w:line="440" w:lineRule="exact"/>
                    <w:rPr>
                      <w:rFonts w:hint="eastAsia" w:ascii="仿宋" w:hAnsi="仿宋" w:eastAsia="仿宋"/>
                      <w:szCs w:val="21"/>
                    </w:rPr>
                  </w:pPr>
                  <w:r>
                    <w:rPr>
                      <w:rFonts w:hint="eastAsia" w:ascii="仿宋" w:hAnsi="仿宋" w:eastAsia="仿宋"/>
                      <w:szCs w:val="21"/>
                    </w:rPr>
                    <w:t xml:space="preserve"> 消毒液</w:t>
                  </w:r>
                </w:p>
              </w:tc>
              <w:tc>
                <w:tcPr>
                  <w:tcW w:w="2956" w:type="dxa"/>
                  <w:noWrap w:val="0"/>
                  <w:vAlign w:val="center"/>
                </w:tcPr>
                <w:p>
                  <w:pPr>
                    <w:spacing w:line="440" w:lineRule="exact"/>
                    <w:rPr>
                      <w:rFonts w:hint="eastAsia" w:ascii="仿宋" w:hAnsi="仿宋" w:eastAsia="仿宋"/>
                      <w:szCs w:val="21"/>
                    </w:rPr>
                  </w:pP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6</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rPr>
                      <w:rFonts w:ascii="仿宋" w:hAnsi="仿宋" w:eastAsia="仿宋"/>
                      <w:szCs w:val="21"/>
                    </w:rPr>
                  </w:pPr>
                  <w:r>
                    <w:rPr>
                      <w:rFonts w:hint="eastAsia" w:ascii="仿宋" w:hAnsi="仿宋" w:eastAsia="仿宋"/>
                      <w:szCs w:val="21"/>
                    </w:rPr>
                    <w:t>39</w:t>
                  </w:r>
                </w:p>
              </w:tc>
              <w:tc>
                <w:tcPr>
                  <w:tcW w:w="2668" w:type="dxa"/>
                  <w:noWrap w:val="0"/>
                  <w:vAlign w:val="top"/>
                </w:tcPr>
                <w:p>
                  <w:pPr>
                    <w:spacing w:line="440" w:lineRule="exact"/>
                    <w:rPr>
                      <w:rFonts w:hint="eastAsia" w:ascii="仿宋" w:hAnsi="仿宋" w:eastAsia="仿宋"/>
                      <w:szCs w:val="21"/>
                    </w:rPr>
                  </w:pPr>
                  <w:r>
                    <w:rPr>
                      <w:rFonts w:hint="eastAsia" w:ascii="仿宋" w:hAnsi="仿宋" w:eastAsia="仿宋"/>
                      <w:szCs w:val="21"/>
                    </w:rPr>
                    <w:t>液位控制系统</w:t>
                  </w:r>
                </w:p>
              </w:tc>
              <w:tc>
                <w:tcPr>
                  <w:tcW w:w="2956" w:type="dxa"/>
                  <w:noWrap w:val="0"/>
                  <w:vAlign w:val="center"/>
                </w:tcPr>
                <w:p>
                  <w:pPr>
                    <w:spacing w:line="440" w:lineRule="exact"/>
                    <w:rPr>
                      <w:rFonts w:hint="eastAsia" w:ascii="仿宋" w:hAnsi="仿宋" w:eastAsia="仿宋"/>
                      <w:szCs w:val="21"/>
                    </w:rPr>
                  </w:pPr>
                </w:p>
              </w:tc>
              <w:tc>
                <w:tcPr>
                  <w:tcW w:w="969" w:type="dxa"/>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920" w:type="dxa"/>
                  <w:noWrap w:val="0"/>
                  <w:vAlign w:val="top"/>
                </w:tcPr>
                <w:p>
                  <w:pPr>
                    <w:spacing w:line="440" w:lineRule="exact"/>
                    <w:rPr>
                      <w:rFonts w:hint="eastAsia" w:ascii="仿宋" w:hAnsi="仿宋" w:eastAsia="仿宋"/>
                      <w:szCs w:val="21"/>
                    </w:rPr>
                  </w:pPr>
                  <w:r>
                    <w:rPr>
                      <w:rFonts w:hint="eastAsia" w:ascii="仿宋" w:hAnsi="仿宋" w:eastAsia="仿宋"/>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top"/>
                </w:tcPr>
                <w:p>
                  <w:pPr>
                    <w:spacing w:line="440" w:lineRule="exact"/>
                    <w:rPr>
                      <w:rFonts w:ascii="仿宋" w:hAnsi="仿宋" w:eastAsia="仿宋"/>
                      <w:szCs w:val="21"/>
                    </w:rPr>
                  </w:pPr>
                  <w:r>
                    <w:rPr>
                      <w:rFonts w:hint="eastAsia" w:ascii="仿宋" w:hAnsi="仿宋" w:eastAsia="仿宋"/>
                      <w:szCs w:val="21"/>
                    </w:rPr>
                    <w:t>40</w:t>
                  </w:r>
                </w:p>
              </w:tc>
              <w:tc>
                <w:tcPr>
                  <w:tcW w:w="2668" w:type="dxa"/>
                  <w:noWrap w:val="0"/>
                  <w:vAlign w:val="top"/>
                </w:tcPr>
                <w:p>
                  <w:pPr>
                    <w:spacing w:line="440" w:lineRule="exact"/>
                    <w:rPr>
                      <w:rFonts w:hint="eastAsia" w:ascii="仿宋" w:hAnsi="仿宋" w:eastAsia="仿宋"/>
                      <w:szCs w:val="21"/>
                    </w:rPr>
                  </w:pPr>
                  <w:r>
                    <w:rPr>
                      <w:rFonts w:hint="eastAsia" w:ascii="仿宋" w:hAnsi="仿宋" w:eastAsia="仿宋"/>
                      <w:szCs w:val="21"/>
                    </w:rPr>
                    <w:t>二氧化氯消毒片</w:t>
                  </w:r>
                </w:p>
              </w:tc>
              <w:tc>
                <w:tcPr>
                  <w:tcW w:w="2956" w:type="dxa"/>
                  <w:noWrap w:val="0"/>
                  <w:vAlign w:val="top"/>
                </w:tcPr>
                <w:p>
                  <w:pPr>
                    <w:spacing w:line="440" w:lineRule="exact"/>
                    <w:rPr>
                      <w:rFonts w:hint="eastAsia" w:ascii="仿宋" w:hAnsi="仿宋" w:eastAsia="仿宋"/>
                      <w:szCs w:val="21"/>
                    </w:rPr>
                  </w:pPr>
                </w:p>
              </w:tc>
              <w:tc>
                <w:tcPr>
                  <w:tcW w:w="0" w:type="auto"/>
                  <w:noWrap w:val="0"/>
                  <w:vAlign w:val="top"/>
                </w:tcPr>
                <w:p>
                  <w:pPr>
                    <w:spacing w:line="440" w:lineRule="exact"/>
                    <w:rPr>
                      <w:rFonts w:hint="eastAsia" w:ascii="仿宋" w:hAnsi="仿宋" w:eastAsia="仿宋"/>
                      <w:szCs w:val="21"/>
                    </w:rPr>
                  </w:pPr>
                  <w:r>
                    <w:rPr>
                      <w:rFonts w:hint="eastAsia" w:ascii="仿宋" w:hAnsi="仿宋" w:eastAsia="仿宋"/>
                      <w:szCs w:val="21"/>
                    </w:rPr>
                    <w:t>1</w:t>
                  </w:r>
                </w:p>
              </w:tc>
              <w:tc>
                <w:tcPr>
                  <w:tcW w:w="0" w:type="auto"/>
                  <w:noWrap w:val="0"/>
                  <w:vAlign w:val="top"/>
                </w:tcPr>
                <w:p>
                  <w:pPr>
                    <w:spacing w:line="440" w:lineRule="exact"/>
                    <w:rPr>
                      <w:rFonts w:hint="eastAsia" w:ascii="仿宋" w:hAnsi="仿宋" w:eastAsia="仿宋"/>
                      <w:szCs w:val="21"/>
                    </w:rPr>
                  </w:pPr>
                  <w:r>
                    <w:rPr>
                      <w:rFonts w:hint="eastAsia" w:ascii="仿宋" w:hAnsi="仿宋" w:eastAsia="仿宋"/>
                      <w:szCs w:val="21"/>
                    </w:rPr>
                    <w:t>瓶</w:t>
                  </w:r>
                </w:p>
              </w:tc>
            </w:tr>
          </w:tbl>
          <w:p>
            <w:pPr>
              <w:widowControl/>
              <w:textAlignment w:val="top"/>
              <w:rPr>
                <w:rFonts w:hint="eastAsia" w:ascii="宋体" w:hAnsi="宋体" w:cs="宋体"/>
                <w:color w:val="auto"/>
                <w:kern w:val="0"/>
                <w:szCs w:val="21"/>
                <w:highlight w:val="none"/>
                <w:lang w:bidi="ar"/>
              </w:rPr>
            </w:pPr>
          </w:p>
        </w:tc>
        <w:tc>
          <w:tcPr>
            <w:tcW w:w="1547" w:type="dxa"/>
            <w:vAlign w:val="top"/>
          </w:tcPr>
          <w:p>
            <w:pPr>
              <w:widowControl/>
              <w:textAlignment w:val="top"/>
              <w:rPr>
                <w:rFonts w:hint="eastAsia" w:ascii="宋体" w:hAnsi="宋体" w:cs="宋体"/>
                <w:color w:val="auto"/>
                <w:kern w:val="0"/>
                <w:szCs w:val="21"/>
                <w:highlight w:val="none"/>
                <w:lang w:bidi="ar"/>
              </w:rPr>
            </w:pPr>
          </w:p>
        </w:tc>
        <w:tc>
          <w:tcPr>
            <w:tcW w:w="1076" w:type="dxa"/>
            <w:vAlign w:val="top"/>
          </w:tcPr>
          <w:p>
            <w:pPr>
              <w:widowControl/>
              <w:textAlignment w:val="top"/>
              <w:rPr>
                <w:rFonts w:hint="eastAsia" w:ascii="宋体" w:hAnsi="宋体" w:cs="宋体"/>
                <w:color w:val="auto"/>
                <w:kern w:val="0"/>
                <w:szCs w:val="21"/>
                <w:highlight w:val="none"/>
                <w:lang w:bidi="ar"/>
              </w:rPr>
            </w:pPr>
          </w:p>
        </w:tc>
      </w:tr>
    </w:tbl>
    <w:p>
      <w:pPr>
        <w:tabs>
          <w:tab w:val="left" w:pos="720"/>
        </w:tabs>
        <w:spacing w:line="340" w:lineRule="exact"/>
        <w:jc w:val="left"/>
        <w:rPr>
          <w:rFonts w:ascii="宋体" w:hAnsi="宋体"/>
          <w:b/>
          <w:bCs/>
          <w:szCs w:val="21"/>
        </w:rPr>
      </w:pPr>
    </w:p>
    <w:p/>
    <w:p/>
    <w:p>
      <w:pPr>
        <w:numPr>
          <w:ilvl w:val="0"/>
          <w:numId w:val="1"/>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sz w:val="24"/>
        </w:rPr>
        <w:t>（请按用户需求里的商务要求</w:t>
      </w:r>
      <w:r>
        <w:rPr>
          <w:rFonts w:hint="eastAsia" w:asciiTheme="minorEastAsia" w:hAnsiTheme="minorEastAsia" w:eastAsiaTheme="minorEastAsia" w:cstheme="minorEastAsia"/>
          <w:b/>
          <w:bCs/>
          <w:sz w:val="24"/>
        </w:rPr>
        <w:t>逐条</w:t>
      </w:r>
      <w:r>
        <w:rPr>
          <w:rFonts w:hint="eastAsia" w:asciiTheme="minorEastAsia" w:hAnsiTheme="minorEastAsia" w:eastAsiaTheme="minorEastAsia" w:cstheme="minorEastAsia"/>
          <w:sz w:val="24"/>
        </w:rPr>
        <w:t>响应）</w:t>
      </w:r>
    </w:p>
    <w:tbl>
      <w:tblPr>
        <w:tblStyle w:val="9"/>
        <w:tblW w:w="10036" w:type="dxa"/>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350"/>
        <w:gridCol w:w="5165"/>
        <w:gridCol w:w="123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35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5165"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eastAsia="宋体" w:cs="宋体"/>
                <w:bCs/>
                <w:kern w:val="0"/>
                <w:szCs w:val="21"/>
                <w:lang w:val="en-US" w:eastAsia="zh-CN"/>
              </w:rPr>
            </w:pPr>
            <w:r>
              <w:rPr>
                <w:rFonts w:hint="eastAsia" w:ascii="宋体" w:hAnsi="宋体"/>
                <w:szCs w:val="21"/>
                <w:lang w:val="en-US" w:eastAsia="zh-CN"/>
              </w:rPr>
              <w:t>1.1</w:t>
            </w:r>
          </w:p>
        </w:tc>
        <w:tc>
          <w:tcPr>
            <w:tcW w:w="1350" w:type="dxa"/>
            <w:vMerge w:val="restart"/>
            <w:shd w:val="clear" w:color="000000" w:fill="FFFFFF"/>
            <w:noWrap/>
            <w:vAlign w:val="center"/>
          </w:tcPr>
          <w:p>
            <w:pPr>
              <w:jc w:val="both"/>
              <w:rPr>
                <w:rFonts w:ascii="宋体" w:hAnsi="宋体" w:cs="宋体"/>
                <w:bCs/>
                <w:kern w:val="0"/>
                <w:szCs w:val="21"/>
                <w:lang w:val="zh-CN"/>
              </w:rPr>
            </w:pPr>
            <w:r>
              <w:rPr>
                <w:rFonts w:hint="eastAsia" w:ascii="仿宋" w:hAnsi="仿宋" w:eastAsia="仿宋" w:cs="仿宋"/>
                <w:b/>
                <w:color w:val="000000"/>
                <w:sz w:val="24"/>
              </w:rPr>
              <w:t>交货及安装、验收要求</w:t>
            </w:r>
          </w:p>
        </w:tc>
        <w:tc>
          <w:tcPr>
            <w:tcW w:w="5165" w:type="dxa"/>
            <w:shd w:val="clear" w:color="000000" w:fill="FFFFFF"/>
            <w:noWrap/>
            <w:vAlign w:val="center"/>
          </w:tcPr>
          <w:p>
            <w:pPr>
              <w:jc w:val="both"/>
              <w:rPr>
                <w:rFonts w:hint="eastAsia" w:ascii="宋体" w:hAnsi="宋体" w:eastAsia="宋体" w:cs="宋体"/>
                <w:kern w:val="2"/>
                <w:sz w:val="21"/>
                <w:szCs w:val="21"/>
                <w:lang w:val="en-US" w:eastAsia="zh-CN" w:bidi="ar-SA"/>
              </w:rPr>
            </w:pPr>
            <w:r>
              <w:rPr>
                <w:rFonts w:hint="eastAsia" w:ascii="仿宋" w:hAnsi="仿宋" w:eastAsia="仿宋" w:cs="仿宋"/>
                <w:color w:val="000000"/>
                <w:sz w:val="24"/>
              </w:rPr>
              <w:t>交货地点：采购人指定地点。</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eastAsia="宋体" w:cs="宋体"/>
                <w:bCs/>
                <w:kern w:val="0"/>
                <w:szCs w:val="21"/>
                <w:lang w:val="en-US" w:eastAsia="zh-CN"/>
              </w:rPr>
            </w:pPr>
            <w:r>
              <w:rPr>
                <w:rFonts w:hint="eastAsia" w:ascii="宋体" w:hAnsi="宋体"/>
                <w:szCs w:val="21"/>
                <w:lang w:val="en-US" w:eastAsia="zh-CN"/>
              </w:rPr>
              <w:t>2.2</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r>
              <w:rPr>
                <w:rFonts w:hint="eastAsia" w:ascii="仿宋" w:hAnsi="仿宋" w:eastAsia="仿宋" w:cs="仿宋"/>
                <w:color w:val="000000"/>
                <w:sz w:val="24"/>
              </w:rPr>
              <w:t>交货期：</w:t>
            </w:r>
            <w:r>
              <w:rPr>
                <w:rFonts w:hint="eastAsia" w:ascii="仿宋" w:hAnsi="仿宋" w:eastAsia="仿宋" w:cs="仿宋"/>
                <w:color w:val="000000"/>
                <w:sz w:val="24"/>
                <w:lang w:eastAsia="zh-CN"/>
              </w:rPr>
              <w:t>成交供应商</w:t>
            </w:r>
            <w:r>
              <w:rPr>
                <w:rFonts w:hint="eastAsia" w:ascii="仿宋" w:hAnsi="仿宋" w:eastAsia="仿宋" w:cs="仿宋"/>
                <w:color w:val="000000"/>
                <w:sz w:val="24"/>
              </w:rPr>
              <w:t>应当在</w:t>
            </w:r>
            <w:r>
              <w:rPr>
                <w:rFonts w:hint="eastAsia" w:ascii="仿宋" w:hAnsi="仿宋" w:eastAsia="仿宋" w:cs="仿宋"/>
                <w:color w:val="000000"/>
                <w:sz w:val="24"/>
                <w:lang w:eastAsia="zh-CN"/>
              </w:rPr>
              <w:t>成交通知书</w:t>
            </w:r>
            <w:r>
              <w:rPr>
                <w:rFonts w:hint="eastAsia" w:ascii="仿宋" w:hAnsi="仿宋" w:eastAsia="仿宋" w:cs="仿宋"/>
                <w:color w:val="000000"/>
                <w:sz w:val="24"/>
              </w:rPr>
              <w:t>发出之日起30日内按</w:t>
            </w:r>
            <w:r>
              <w:rPr>
                <w:rFonts w:hint="eastAsia" w:ascii="仿宋" w:hAnsi="仿宋" w:eastAsia="仿宋" w:cs="仿宋"/>
                <w:color w:val="000000"/>
                <w:sz w:val="24"/>
                <w:lang w:eastAsia="zh-CN"/>
              </w:rPr>
              <w:t>磋商文件</w:t>
            </w:r>
            <w:r>
              <w:rPr>
                <w:rFonts w:hint="eastAsia" w:ascii="仿宋" w:hAnsi="仿宋" w:eastAsia="仿宋" w:cs="仿宋"/>
                <w:color w:val="000000"/>
                <w:sz w:val="24"/>
              </w:rPr>
              <w:t>及</w:t>
            </w:r>
            <w:r>
              <w:rPr>
                <w:rFonts w:hint="eastAsia" w:ascii="仿宋" w:hAnsi="仿宋" w:eastAsia="仿宋" w:cs="仿宋"/>
                <w:color w:val="000000"/>
                <w:sz w:val="24"/>
                <w:lang w:eastAsia="zh-CN"/>
              </w:rPr>
              <w:t>成交供应商</w:t>
            </w:r>
            <w:r>
              <w:rPr>
                <w:rFonts w:hint="eastAsia" w:ascii="仿宋" w:hAnsi="仿宋" w:eastAsia="仿宋" w:cs="仿宋"/>
                <w:color w:val="000000"/>
                <w:sz w:val="24"/>
              </w:rPr>
              <w:t>的</w:t>
            </w:r>
            <w:r>
              <w:rPr>
                <w:rFonts w:hint="eastAsia" w:ascii="仿宋" w:hAnsi="仿宋" w:eastAsia="仿宋" w:cs="仿宋"/>
                <w:color w:val="000000"/>
                <w:sz w:val="24"/>
                <w:lang w:eastAsia="zh-CN"/>
              </w:rPr>
              <w:t>响应文件</w:t>
            </w:r>
            <w:r>
              <w:rPr>
                <w:rFonts w:hint="eastAsia" w:ascii="仿宋" w:hAnsi="仿宋" w:eastAsia="仿宋" w:cs="仿宋"/>
                <w:color w:val="000000"/>
                <w:sz w:val="24"/>
              </w:rPr>
              <w:t>确定的事项与采购人签订合同，签订合同后</w:t>
            </w:r>
            <w:r>
              <w:rPr>
                <w:rFonts w:hint="eastAsia" w:ascii="仿宋" w:hAnsi="仿宋" w:eastAsia="仿宋" w:cs="仿宋"/>
                <w:color w:val="000000"/>
                <w:sz w:val="24"/>
                <w:u w:val="single"/>
              </w:rPr>
              <w:t xml:space="preserve"> 30 </w:t>
            </w:r>
            <w:r>
              <w:rPr>
                <w:rFonts w:hint="eastAsia" w:ascii="仿宋" w:hAnsi="仿宋" w:eastAsia="仿宋" w:cs="仿宋"/>
                <w:color w:val="000000"/>
                <w:sz w:val="24"/>
              </w:rPr>
              <w:t>日内完成设备的安装调试。合同设备交付时</w:t>
            </w:r>
            <w:r>
              <w:rPr>
                <w:rFonts w:hint="eastAsia" w:ascii="仿宋" w:hAnsi="仿宋" w:eastAsia="仿宋" w:cs="仿宋"/>
                <w:color w:val="000000"/>
                <w:sz w:val="24"/>
                <w:lang w:eastAsia="zh-CN"/>
              </w:rPr>
              <w:t>成交供应商</w:t>
            </w:r>
            <w:r>
              <w:rPr>
                <w:rFonts w:hint="eastAsia" w:ascii="仿宋" w:hAnsi="仿宋" w:eastAsia="仿宋" w:cs="仿宋"/>
                <w:color w:val="000000"/>
                <w:sz w:val="24"/>
              </w:rPr>
              <w:t>应提供合同设备真实有效的生产日期，且保证合同设备的生产日期距交付时的时间差不超过</w:t>
            </w:r>
            <w:r>
              <w:rPr>
                <w:rFonts w:hint="eastAsia" w:ascii="仿宋" w:hAnsi="仿宋" w:eastAsia="仿宋" w:cs="仿宋"/>
                <w:color w:val="000000"/>
                <w:sz w:val="24"/>
                <w:u w:val="single"/>
              </w:rPr>
              <w:t xml:space="preserve"> </w:t>
            </w:r>
            <w:r>
              <w:rPr>
                <w:rFonts w:hint="eastAsia" w:ascii="仿宋" w:hAnsi="仿宋" w:eastAsia="仿宋" w:cs="仿宋"/>
                <w:color w:val="FF0000"/>
                <w:sz w:val="24"/>
                <w:u w:val="single"/>
                <w:lang w:val="en-US" w:eastAsia="zh-CN"/>
              </w:rPr>
              <w:t>6</w:t>
            </w:r>
            <w:r>
              <w:rPr>
                <w:rFonts w:hint="eastAsia" w:ascii="仿宋" w:hAnsi="仿宋" w:eastAsia="仿宋" w:cs="仿宋"/>
                <w:color w:val="000000"/>
                <w:sz w:val="24"/>
                <w:u w:val="single"/>
              </w:rPr>
              <w:t>个</w:t>
            </w:r>
            <w:r>
              <w:rPr>
                <w:rFonts w:hint="eastAsia" w:ascii="仿宋" w:hAnsi="仿宋" w:eastAsia="仿宋" w:cs="仿宋"/>
                <w:color w:val="000000"/>
                <w:sz w:val="24"/>
              </w:rPr>
              <w:t>月。</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lang w:val="en-US" w:eastAsia="zh-CN"/>
              </w:rPr>
              <w:t>1.3</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r>
              <w:rPr>
                <w:rFonts w:hint="eastAsia" w:ascii="仿宋" w:hAnsi="仿宋" w:eastAsia="仿宋" w:cs="仿宋"/>
                <w:color w:val="000000"/>
                <w:sz w:val="24"/>
                <w:lang w:eastAsia="zh-CN"/>
              </w:rPr>
              <w:t>成交供应商</w:t>
            </w:r>
            <w:r>
              <w:rPr>
                <w:rFonts w:hint="eastAsia" w:ascii="仿宋" w:hAnsi="仿宋" w:eastAsia="仿宋" w:cs="仿宋"/>
                <w:color w:val="000000"/>
                <w:sz w:val="24"/>
              </w:rPr>
              <w:t>须保证</w:t>
            </w:r>
            <w:r>
              <w:rPr>
                <w:rFonts w:hint="eastAsia" w:ascii="仿宋" w:hAnsi="仿宋" w:eastAsia="仿宋" w:cs="仿宋"/>
                <w:color w:val="000000"/>
                <w:sz w:val="24"/>
                <w:lang w:eastAsia="zh-CN"/>
              </w:rPr>
              <w:t>成交</w:t>
            </w:r>
            <w:r>
              <w:rPr>
                <w:rFonts w:hint="eastAsia" w:ascii="仿宋" w:hAnsi="仿宋" w:eastAsia="仿宋" w:cs="仿宋"/>
                <w:color w:val="000000"/>
                <w:sz w:val="24"/>
              </w:rPr>
              <w:t>后所提供的设备为原装、全新合格的产品。</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eastAsia="宋体" w:cs="Times New Roman"/>
                <w:lang w:val="en-US" w:eastAsia="zh-CN"/>
              </w:rPr>
              <w:t>1.4</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spacing w:line="440" w:lineRule="exact"/>
              <w:rPr>
                <w:rFonts w:hint="eastAsia" w:ascii="宋体" w:hAnsi="宋体" w:eastAsia="宋体" w:cs="宋体"/>
                <w:kern w:val="2"/>
                <w:sz w:val="21"/>
                <w:szCs w:val="21"/>
                <w:lang w:val="en-US" w:eastAsia="zh-CN" w:bidi="ar-SA"/>
              </w:rPr>
            </w:pPr>
            <w:r>
              <w:rPr>
                <w:rFonts w:hint="eastAsia" w:ascii="仿宋" w:hAnsi="仿宋" w:eastAsia="仿宋" w:cs="仿宋"/>
                <w:color w:val="000000"/>
                <w:sz w:val="24"/>
                <w:lang w:eastAsia="zh-CN"/>
              </w:rPr>
              <w:t>成交供应商</w:t>
            </w:r>
            <w:r>
              <w:rPr>
                <w:rFonts w:hint="eastAsia" w:ascii="仿宋" w:hAnsi="仿宋" w:eastAsia="仿宋" w:cs="仿宋"/>
                <w:color w:val="000000"/>
                <w:sz w:val="24"/>
              </w:rPr>
              <w:t>负责派技术人员到现场进行安装调试，直至验收合格，安装调试所需费用应包含在投标总报价内；同时提供培训服务，必须保证需求科室操作人员融会贯通，培训所需费用全部包含在总报价内。</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lang w:val="en-US" w:eastAsia="zh-CN"/>
              </w:rPr>
              <w:t>1.5</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jc w:val="both"/>
              <w:rPr>
                <w:rFonts w:hint="eastAsia" w:ascii="宋体" w:hAnsi="宋体" w:eastAsia="宋体" w:cs="宋体"/>
                <w:kern w:val="2"/>
                <w:sz w:val="21"/>
                <w:szCs w:val="21"/>
                <w:lang w:val="en-US" w:eastAsia="zh-CN" w:bidi="ar-SA"/>
              </w:rPr>
            </w:pPr>
            <w:r>
              <w:rPr>
                <w:rFonts w:hint="eastAsia" w:ascii="仿宋" w:hAnsi="仿宋" w:eastAsia="仿宋" w:cs="仿宋"/>
                <w:color w:val="000000"/>
                <w:sz w:val="24"/>
              </w:rPr>
              <w:t>验收方式：按《小榄镇公立医院政府采购和验收办法》。</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仿宋" w:hAnsi="仿宋" w:eastAsia="仿宋" w:cs="仿宋"/>
                <w:color w:val="000000"/>
                <w:sz w:val="24"/>
              </w:rPr>
              <w:t>★</w:t>
            </w:r>
            <w:r>
              <w:rPr>
                <w:rFonts w:hint="eastAsia" w:ascii="宋体" w:hAnsi="宋体"/>
                <w:color w:val="000000" w:themeColor="text1"/>
                <w:szCs w:val="21"/>
                <w:lang w:val="en-US" w:eastAsia="zh-CN"/>
              </w:rPr>
              <w:t>1.6</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lang w:eastAsia="zh-CN"/>
              </w:rPr>
              <w:t>供应商</w:t>
            </w:r>
            <w:r>
              <w:rPr>
                <w:rFonts w:hint="eastAsia" w:ascii="仿宋" w:hAnsi="仿宋" w:eastAsia="仿宋" w:cs="仿宋"/>
                <w:color w:val="000000"/>
                <w:sz w:val="24"/>
              </w:rPr>
              <w:t>须在</w:t>
            </w:r>
            <w:r>
              <w:rPr>
                <w:rFonts w:hint="eastAsia" w:ascii="仿宋" w:hAnsi="仿宋" w:eastAsia="仿宋" w:cs="仿宋"/>
                <w:color w:val="000000"/>
                <w:sz w:val="24"/>
                <w:lang w:eastAsia="zh-CN"/>
              </w:rPr>
              <w:t>响应文件</w:t>
            </w:r>
            <w:r>
              <w:rPr>
                <w:rFonts w:hint="eastAsia" w:ascii="仿宋" w:hAnsi="仿宋" w:eastAsia="仿宋" w:cs="仿宋"/>
                <w:color w:val="000000"/>
                <w:sz w:val="24"/>
                <w:lang w:val="en-US" w:eastAsia="zh-CN"/>
              </w:rPr>
              <w:t>提供《</w:t>
            </w:r>
            <w:r>
              <w:rPr>
                <w:rFonts w:hint="eastAsia" w:ascii="仿宋" w:hAnsi="仿宋" w:eastAsia="仿宋" w:cs="仿宋"/>
                <w:color w:val="000000"/>
                <w:sz w:val="24"/>
              </w:rPr>
              <w:t>承诺函</w:t>
            </w:r>
            <w:r>
              <w:rPr>
                <w:rFonts w:hint="eastAsia" w:ascii="仿宋" w:hAnsi="仿宋" w:eastAsia="仿宋" w:cs="仿宋"/>
                <w:color w:val="000000"/>
                <w:sz w:val="24"/>
                <w:lang w:val="en-US" w:eastAsia="zh-CN"/>
              </w:rPr>
              <w:t>》（格式自拟）</w:t>
            </w:r>
            <w:r>
              <w:rPr>
                <w:rFonts w:hint="eastAsia" w:ascii="仿宋" w:hAnsi="仿宋" w:eastAsia="仿宋" w:cs="仿宋"/>
                <w:color w:val="000000"/>
                <w:sz w:val="24"/>
              </w:rPr>
              <w:t>，该承诺函包括但不限于以下内容:</w:t>
            </w:r>
          </w:p>
          <w:p>
            <w:pPr>
              <w:spacing w:line="440" w:lineRule="exact"/>
              <w:rPr>
                <w:rFonts w:hint="eastAsia" w:ascii="宋体" w:hAnsi="宋体" w:eastAsia="宋体" w:cs="宋体"/>
                <w:kern w:val="2"/>
                <w:sz w:val="21"/>
                <w:szCs w:val="21"/>
                <w:lang w:val="en-US" w:eastAsia="zh-CN" w:bidi="ar-SA"/>
              </w:rPr>
            </w:pPr>
            <w:r>
              <w:rPr>
                <w:rFonts w:hint="eastAsia" w:ascii="仿宋" w:hAnsi="仿宋" w:eastAsia="仿宋" w:cs="仿宋"/>
                <w:color w:val="000000"/>
                <w:sz w:val="24"/>
              </w:rPr>
              <w:t>承诺</w:t>
            </w:r>
            <w:r>
              <w:rPr>
                <w:rFonts w:hint="eastAsia" w:ascii="仿宋" w:hAnsi="仿宋" w:eastAsia="仿宋" w:cs="仿宋"/>
                <w:color w:val="000000"/>
                <w:sz w:val="24"/>
                <w:lang w:eastAsia="zh-CN"/>
              </w:rPr>
              <w:t>成交</w:t>
            </w:r>
            <w:r>
              <w:rPr>
                <w:rFonts w:hint="eastAsia" w:ascii="仿宋" w:hAnsi="仿宋" w:eastAsia="仿宋" w:cs="仿宋"/>
                <w:color w:val="000000"/>
                <w:sz w:val="24"/>
              </w:rPr>
              <w:t>后须在</w:t>
            </w:r>
            <w:r>
              <w:rPr>
                <w:rFonts w:hint="eastAsia" w:ascii="仿宋" w:hAnsi="仿宋" w:eastAsia="仿宋" w:cs="仿宋"/>
                <w:color w:val="000000"/>
                <w:sz w:val="24"/>
                <w:lang w:eastAsia="zh-CN"/>
              </w:rPr>
              <w:t>成交</w:t>
            </w:r>
            <w:r>
              <w:rPr>
                <w:rFonts w:hint="eastAsia" w:ascii="仿宋" w:hAnsi="仿宋" w:eastAsia="仿宋" w:cs="仿宋"/>
                <w:color w:val="000000"/>
                <w:sz w:val="24"/>
                <w:lang w:val="en-US" w:eastAsia="zh-CN"/>
              </w:rPr>
              <w:t>结果</w:t>
            </w:r>
            <w:r>
              <w:rPr>
                <w:rFonts w:hint="eastAsia" w:ascii="仿宋" w:hAnsi="仿宋" w:eastAsia="仿宋" w:cs="仿宋"/>
                <w:color w:val="000000"/>
                <w:sz w:val="24"/>
              </w:rPr>
              <w:t>公告发布之日起五个工作日内提供设备制造厂商开具并盖章的合法有效的授权函原件（盖鲜章）、售后服务承诺函原件（盖鲜章）。</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eastAsia" w:ascii="宋体" w:hAnsi="宋体" w:eastAsia="宋体" w:cs="宋体"/>
                <w:bCs/>
                <w:kern w:val="0"/>
                <w:szCs w:val="21"/>
                <w:lang w:val="zh-CN" w:eastAsia="zh-CN"/>
              </w:rPr>
            </w:pPr>
            <w:r>
              <w:rPr>
                <w:rFonts w:hint="eastAsia" w:ascii="宋体" w:hAnsi="宋体"/>
                <w:szCs w:val="21"/>
                <w:lang w:val="en-US" w:eastAsia="zh-CN"/>
              </w:rPr>
              <w:t>1.7</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jc w:val="both"/>
              <w:rPr>
                <w:rFonts w:hint="eastAsia" w:ascii="宋体" w:hAnsi="宋体" w:eastAsia="宋体" w:cs="宋体"/>
                <w:kern w:val="2"/>
                <w:sz w:val="21"/>
                <w:szCs w:val="21"/>
                <w:lang w:val="en-US" w:eastAsia="zh-CN" w:bidi="ar-SA"/>
              </w:rPr>
            </w:pPr>
            <w:r>
              <w:rPr>
                <w:rFonts w:hint="eastAsia" w:ascii="仿宋" w:hAnsi="仿宋" w:eastAsia="仿宋" w:cs="仿宋"/>
                <w:color w:val="000000"/>
                <w:sz w:val="24"/>
                <w:highlight w:val="none"/>
              </w:rPr>
              <w:t>乙方所投设备属于计量仪器的，需通过具有国家部门颁发专业检测资质证书的第三方计量检测单位检测并提供合格报告。</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szCs w:val="21"/>
                <w:lang w:val="en-US" w:eastAsia="zh-CN"/>
              </w:rPr>
            </w:pPr>
            <w:r>
              <w:rPr>
                <w:rFonts w:hint="eastAsia" w:ascii="宋体" w:hAnsi="宋体"/>
                <w:szCs w:val="21"/>
                <w:lang w:val="en-US" w:eastAsia="zh-CN"/>
              </w:rPr>
              <w:t>2.1</w:t>
            </w:r>
          </w:p>
        </w:tc>
        <w:tc>
          <w:tcPr>
            <w:tcW w:w="1350" w:type="dxa"/>
            <w:vMerge w:val="restart"/>
            <w:shd w:val="clear" w:color="000000" w:fill="FFFFFF"/>
            <w:noWrap/>
            <w:vAlign w:val="center"/>
          </w:tcPr>
          <w:p>
            <w:pPr>
              <w:jc w:val="both"/>
              <w:rPr>
                <w:rFonts w:ascii="宋体" w:hAnsi="宋体" w:cs="宋体"/>
                <w:bCs/>
                <w:kern w:val="0"/>
                <w:szCs w:val="21"/>
                <w:lang w:val="zh-CN"/>
              </w:rPr>
            </w:pPr>
            <w:r>
              <w:rPr>
                <w:rFonts w:hint="eastAsia" w:ascii="仿宋" w:hAnsi="仿宋" w:eastAsia="仿宋" w:cs="仿宋"/>
                <w:b/>
                <w:color w:val="auto"/>
                <w:sz w:val="24"/>
                <w:highlight w:val="none"/>
              </w:rPr>
              <w:t>售后服务要求</w:t>
            </w:r>
          </w:p>
        </w:tc>
        <w:tc>
          <w:tcPr>
            <w:tcW w:w="5165" w:type="dxa"/>
            <w:shd w:val="clear" w:color="000000" w:fill="FFFFFF"/>
            <w:noWrap/>
            <w:vAlign w:val="center"/>
          </w:tcPr>
          <w:p>
            <w:pPr>
              <w:jc w:val="both"/>
              <w:rPr>
                <w:rFonts w:hint="eastAsia" w:ascii="仿宋" w:hAnsi="仿宋" w:eastAsia="仿宋" w:cs="仿宋"/>
                <w:color w:val="000000"/>
                <w:sz w:val="24"/>
              </w:rPr>
            </w:pPr>
            <w:r>
              <w:rPr>
                <w:rFonts w:hint="eastAsia" w:ascii="仿宋" w:hAnsi="仿宋" w:eastAsia="仿宋" w:cs="仿宋"/>
                <w:color w:val="000000"/>
                <w:sz w:val="24"/>
                <w:lang w:eastAsia="zh-CN"/>
              </w:rPr>
              <w:t>成交供应商</w:t>
            </w:r>
            <w:r>
              <w:rPr>
                <w:rFonts w:hint="eastAsia" w:ascii="仿宋" w:hAnsi="仿宋" w:eastAsia="仿宋" w:cs="仿宋"/>
                <w:color w:val="000000"/>
                <w:sz w:val="24"/>
              </w:rPr>
              <w:t>必须在中国境内有售后服务机构，并附有售后服务能力说明。</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szCs w:val="21"/>
                <w:lang w:val="en-US" w:eastAsia="zh-CN"/>
              </w:rPr>
            </w:pPr>
            <w:r>
              <w:rPr>
                <w:rFonts w:hint="eastAsia" w:ascii="仿宋" w:hAnsi="仿宋" w:eastAsia="仿宋" w:cs="仿宋"/>
                <w:color w:val="000000"/>
                <w:sz w:val="24"/>
              </w:rPr>
              <w:t>★</w:t>
            </w:r>
            <w:r>
              <w:rPr>
                <w:rFonts w:hint="eastAsia" w:ascii="宋体" w:hAnsi="宋体" w:eastAsia="宋体" w:cs="Times New Roman"/>
                <w:szCs w:val="21"/>
                <w:lang w:val="en-US" w:eastAsia="zh-CN"/>
              </w:rPr>
              <w:t>2.2</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spacing w:line="440" w:lineRule="exact"/>
              <w:rPr>
                <w:rFonts w:hint="eastAsia" w:ascii="仿宋" w:hAnsi="仿宋" w:eastAsia="仿宋" w:cs="仿宋"/>
                <w:color w:val="000000"/>
                <w:sz w:val="24"/>
              </w:rPr>
            </w:pPr>
            <w:r>
              <w:rPr>
                <w:rFonts w:hint="eastAsia" w:ascii="仿宋" w:hAnsi="仿宋" w:eastAsia="仿宋" w:cs="仿宋"/>
                <w:color w:val="000000"/>
                <w:sz w:val="24"/>
                <w:lang w:eastAsia="zh-CN"/>
              </w:rPr>
              <w:t>成交供应商</w:t>
            </w:r>
            <w:r>
              <w:rPr>
                <w:rFonts w:hint="eastAsia" w:ascii="仿宋" w:hAnsi="仿宋" w:eastAsia="仿宋" w:cs="仿宋"/>
                <w:color w:val="000000"/>
                <w:sz w:val="24"/>
              </w:rPr>
              <w:t>须提供设备原厂质保（设备原厂质量保修范围和保修期）至少为</w:t>
            </w:r>
            <w:r>
              <w:rPr>
                <w:rFonts w:hint="eastAsia" w:ascii="仿宋" w:hAnsi="仿宋" w:eastAsia="仿宋" w:cs="仿宋"/>
                <w:color w:val="000000"/>
                <w:sz w:val="24"/>
                <w:u w:val="single"/>
              </w:rPr>
              <w:t xml:space="preserve">  1  </w:t>
            </w:r>
            <w:r>
              <w:rPr>
                <w:rFonts w:hint="eastAsia" w:ascii="仿宋" w:hAnsi="仿宋" w:eastAsia="仿宋" w:cs="仿宋"/>
                <w:color w:val="000000"/>
                <w:sz w:val="24"/>
              </w:rPr>
              <w:t>年。</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szCs w:val="21"/>
                <w:lang w:val="en-US" w:eastAsia="zh-CN"/>
              </w:rPr>
            </w:pPr>
            <w:r>
              <w:rPr>
                <w:rFonts w:hint="eastAsia" w:ascii="宋体" w:hAnsi="宋体"/>
                <w:szCs w:val="21"/>
                <w:lang w:val="en-US" w:eastAsia="zh-CN"/>
              </w:rPr>
              <w:t>2.3</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jc w:val="both"/>
              <w:rPr>
                <w:rFonts w:hint="eastAsia" w:ascii="仿宋" w:hAnsi="仿宋" w:eastAsia="仿宋" w:cs="仿宋"/>
                <w:color w:val="000000"/>
                <w:sz w:val="24"/>
              </w:rPr>
            </w:pPr>
            <w:r>
              <w:rPr>
                <w:rFonts w:hint="eastAsia" w:ascii="仿宋" w:hAnsi="仿宋" w:eastAsia="仿宋" w:cs="仿宋"/>
                <w:color w:val="000000"/>
                <w:sz w:val="24"/>
              </w:rPr>
              <w:t>在售后期内，</w:t>
            </w:r>
            <w:r>
              <w:rPr>
                <w:rFonts w:hint="eastAsia" w:ascii="仿宋" w:hAnsi="仿宋" w:eastAsia="仿宋" w:cs="仿宋"/>
                <w:color w:val="000000"/>
                <w:sz w:val="24"/>
                <w:lang w:eastAsia="zh-CN"/>
              </w:rPr>
              <w:t>成交供应商</w:t>
            </w:r>
            <w:r>
              <w:rPr>
                <w:rFonts w:hint="eastAsia" w:ascii="仿宋" w:hAnsi="仿宋" w:eastAsia="仿宋" w:cs="仿宋"/>
                <w:color w:val="000000"/>
                <w:sz w:val="24"/>
              </w:rPr>
              <w:t>在接到用户的维修通知，响应时间为半小时内，工程师到达现场时间为4小时内，排除故障时限为到达现场后8小时内。</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szCs w:val="21"/>
                <w:lang w:val="en-US" w:eastAsia="zh-CN"/>
              </w:rPr>
            </w:pPr>
            <w:r>
              <w:rPr>
                <w:rFonts w:hint="eastAsia" w:ascii="宋体" w:hAnsi="宋体"/>
                <w:szCs w:val="21"/>
                <w:lang w:val="en-US" w:eastAsia="zh-CN"/>
              </w:rPr>
              <w:t>2.4</w:t>
            </w: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jc w:val="both"/>
              <w:rPr>
                <w:rFonts w:hint="eastAsia" w:ascii="仿宋" w:hAnsi="仿宋" w:eastAsia="仿宋" w:cs="仿宋"/>
                <w:color w:val="000000"/>
                <w:sz w:val="24"/>
              </w:rPr>
            </w:pPr>
            <w:r>
              <w:rPr>
                <w:rFonts w:hint="eastAsia" w:ascii="仿宋" w:hAnsi="仿宋" w:eastAsia="仿宋" w:cs="仿宋"/>
                <w:color w:val="000000"/>
                <w:sz w:val="24"/>
              </w:rPr>
              <w:t>如果产品故障在检修12小时后仍无法排除，</w:t>
            </w:r>
            <w:r>
              <w:rPr>
                <w:rFonts w:hint="eastAsia" w:ascii="仿宋" w:hAnsi="仿宋" w:eastAsia="仿宋" w:cs="仿宋"/>
                <w:color w:val="000000"/>
                <w:sz w:val="24"/>
                <w:lang w:eastAsia="zh-CN"/>
              </w:rPr>
              <w:t>成交供应商</w:t>
            </w:r>
            <w:r>
              <w:rPr>
                <w:rFonts w:hint="eastAsia" w:ascii="仿宋" w:hAnsi="仿宋" w:eastAsia="仿宋" w:cs="仿宋"/>
                <w:color w:val="000000"/>
                <w:sz w:val="24"/>
              </w:rPr>
              <w:t>应在24小时内提供不低于故障产品规格型号档次的备用产品供采购人使用，直至故障产品修复。</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pStyle w:val="2"/>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★3.1</w:t>
            </w:r>
          </w:p>
        </w:tc>
        <w:tc>
          <w:tcPr>
            <w:tcW w:w="1350" w:type="dxa"/>
            <w:vMerge w:val="restart"/>
            <w:shd w:val="clear" w:color="000000" w:fill="FFFFFF"/>
            <w:noWrap/>
            <w:vAlign w:val="center"/>
          </w:tcPr>
          <w:p>
            <w:pPr>
              <w:jc w:val="both"/>
              <w:rPr>
                <w:rFonts w:ascii="宋体" w:hAnsi="宋体" w:cs="宋体"/>
                <w:bCs/>
                <w:kern w:val="0"/>
                <w:szCs w:val="21"/>
                <w:lang w:val="zh-CN"/>
              </w:rPr>
            </w:pPr>
            <w:r>
              <w:rPr>
                <w:rFonts w:hint="eastAsia" w:ascii="仿宋" w:hAnsi="仿宋" w:eastAsia="仿宋" w:cs="仿宋"/>
                <w:b/>
                <w:color w:val="000000"/>
                <w:sz w:val="24"/>
              </w:rPr>
              <w:t>付款方式</w:t>
            </w:r>
          </w:p>
        </w:tc>
        <w:tc>
          <w:tcPr>
            <w:tcW w:w="5165" w:type="dxa"/>
            <w:shd w:val="clear" w:color="000000" w:fill="FFFFFF"/>
            <w:noWrap/>
            <w:vAlign w:val="center"/>
          </w:tcPr>
          <w:p>
            <w:pPr>
              <w:spacing w:line="440" w:lineRule="exact"/>
              <w:rPr>
                <w:rFonts w:ascii="仿宋" w:hAnsi="仿宋" w:eastAsia="仿宋" w:cs="仿宋"/>
                <w:color w:val="000000"/>
                <w:sz w:val="24"/>
              </w:rPr>
            </w:pPr>
            <w:r>
              <w:rPr>
                <w:rFonts w:hint="eastAsia" w:ascii="仿宋" w:hAnsi="仿宋" w:eastAsia="仿宋" w:cs="仿宋"/>
                <w:color w:val="000000"/>
                <w:sz w:val="24"/>
              </w:rPr>
              <w:t>本合同的每笔款项以人民币转账方式支付，合同设备到采购人指定地点交付并完成安装，验收合格后，</w:t>
            </w:r>
            <w:r>
              <w:rPr>
                <w:rFonts w:hint="eastAsia" w:ascii="仿宋" w:hAnsi="仿宋" w:eastAsia="仿宋" w:cs="仿宋"/>
                <w:color w:val="000000"/>
                <w:sz w:val="24"/>
                <w:lang w:eastAsia="zh-CN"/>
              </w:rPr>
              <w:t>成交</w:t>
            </w:r>
            <w:r>
              <w:rPr>
                <w:rFonts w:hint="eastAsia" w:ascii="仿宋" w:hAnsi="仿宋" w:eastAsia="仿宋" w:cs="仿宋"/>
                <w:color w:val="000000"/>
                <w:sz w:val="24"/>
              </w:rPr>
              <w:t>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eastAsia="zh-CN"/>
              </w:rPr>
              <w:t>成交供应商</w:t>
            </w:r>
            <w:r>
              <w:rPr>
                <w:rFonts w:hint="eastAsia" w:ascii="仿宋" w:hAnsi="仿宋" w:eastAsia="仿宋" w:cs="仿宋"/>
                <w:color w:val="000000"/>
                <w:sz w:val="24"/>
              </w:rPr>
              <w:t>开具的正式发票（加盖发票专用章）。</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80" w:type="dxa"/>
            <w:shd w:val="clear" w:color="000000" w:fill="FFFFFF"/>
            <w:noWrap/>
            <w:vAlign w:val="center"/>
          </w:tcPr>
          <w:p>
            <w:pPr>
              <w:autoSpaceDE w:val="0"/>
              <w:autoSpaceDN w:val="0"/>
              <w:adjustRightInd w:val="0"/>
              <w:spacing w:line="440" w:lineRule="exact"/>
              <w:jc w:val="center"/>
              <w:rPr>
                <w:rFonts w:hint="default"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★3.2</w:t>
            </w:r>
          </w:p>
          <w:p>
            <w:pPr>
              <w:autoSpaceDE w:val="0"/>
              <w:autoSpaceDN w:val="0"/>
              <w:adjustRightInd w:val="0"/>
              <w:spacing w:line="440" w:lineRule="exact"/>
              <w:jc w:val="center"/>
              <w:rPr>
                <w:rFonts w:hint="eastAsia" w:ascii="宋体" w:hAnsi="宋体" w:eastAsia="宋体" w:cs="Times New Roman"/>
                <w:kern w:val="2"/>
                <w:sz w:val="21"/>
                <w:szCs w:val="21"/>
                <w:lang w:val="en-US" w:eastAsia="zh-CN" w:bidi="ar-SA"/>
              </w:rPr>
            </w:pPr>
          </w:p>
        </w:tc>
        <w:tc>
          <w:tcPr>
            <w:tcW w:w="1350" w:type="dxa"/>
            <w:vMerge w:val="continue"/>
            <w:shd w:val="clear" w:color="000000" w:fill="FFFFFF"/>
            <w:noWrap/>
            <w:vAlign w:val="center"/>
          </w:tcPr>
          <w:p>
            <w:pPr>
              <w:jc w:val="both"/>
              <w:rPr>
                <w:rFonts w:ascii="宋体" w:hAnsi="宋体" w:cs="宋体"/>
                <w:bCs/>
                <w:kern w:val="0"/>
                <w:szCs w:val="21"/>
                <w:lang w:val="zh-CN"/>
              </w:rPr>
            </w:pPr>
          </w:p>
        </w:tc>
        <w:tc>
          <w:tcPr>
            <w:tcW w:w="5165" w:type="dxa"/>
            <w:shd w:val="clear" w:color="000000" w:fill="FFFFFF"/>
            <w:noWrap/>
            <w:vAlign w:val="center"/>
          </w:tcPr>
          <w:p>
            <w:pPr>
              <w:spacing w:line="440" w:lineRule="exact"/>
              <w:rPr>
                <w:rFonts w:hint="eastAsia" w:ascii="仿宋" w:hAnsi="仿宋" w:eastAsia="仿宋" w:cs="仿宋"/>
                <w:color w:val="000000"/>
                <w:sz w:val="24"/>
              </w:rPr>
            </w:pPr>
            <w:r>
              <w:rPr>
                <w:rFonts w:hint="eastAsia" w:ascii="仿宋" w:hAnsi="仿宋" w:eastAsia="仿宋" w:cs="仿宋"/>
                <w:sz w:val="24"/>
                <w:highlight w:val="yellow"/>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w:t>
            </w:r>
            <w:bookmarkStart w:id="1" w:name="_GoBack"/>
            <w:bookmarkEnd w:id="1"/>
            <w:r>
              <w:rPr>
                <w:rFonts w:hint="eastAsia" w:ascii="仿宋" w:hAnsi="仿宋" w:eastAsia="仿宋" w:cs="仿宋"/>
                <w:sz w:val="24"/>
                <w:highlight w:val="yellow"/>
              </w:rPr>
              <w:t>个月内支付合同总金额的75%的款项。第三期：合同总金额的5%的款项在</w:t>
            </w:r>
            <w:r>
              <w:rPr>
                <w:rFonts w:hint="eastAsia" w:ascii="仿宋" w:hAnsi="仿宋" w:eastAsia="仿宋" w:cs="仿宋"/>
                <w:sz w:val="24"/>
                <w:highlight w:val="yellow"/>
                <w:u w:val="single"/>
              </w:rPr>
              <w:t>（填质保期）</w:t>
            </w:r>
            <w:r>
              <w:rPr>
                <w:rFonts w:hint="eastAsia" w:ascii="仿宋" w:hAnsi="仿宋" w:eastAsia="仿宋" w:cs="仿宋"/>
                <w:sz w:val="24"/>
                <w:highlight w:val="yellow"/>
              </w:rPr>
              <w:t>年后无息支付。</w:t>
            </w:r>
          </w:p>
        </w:tc>
        <w:tc>
          <w:tcPr>
            <w:tcW w:w="1239" w:type="dxa"/>
            <w:shd w:val="clear" w:color="000000" w:fill="FFFFFF"/>
            <w:noWrap/>
            <w:vAlign w:val="center"/>
          </w:tcPr>
          <w:p>
            <w:pPr>
              <w:tabs>
                <w:tab w:val="left" w:pos="720"/>
              </w:tabs>
              <w:spacing w:line="440" w:lineRule="exact"/>
              <w:jc w:val="center"/>
              <w:rPr>
                <w:rFonts w:ascii="宋体" w:hAnsi="宋体" w:cs="宋体"/>
                <w:bCs/>
                <w:szCs w:val="21"/>
              </w:rPr>
            </w:pPr>
          </w:p>
        </w:tc>
        <w:tc>
          <w:tcPr>
            <w:tcW w:w="1502" w:type="dxa"/>
            <w:shd w:val="clear" w:color="000000" w:fill="FFFFFF"/>
            <w:noWrap/>
            <w:vAlign w:val="center"/>
          </w:tcPr>
          <w:p>
            <w:pPr>
              <w:autoSpaceDE w:val="0"/>
              <w:autoSpaceDN w:val="0"/>
              <w:adjustRightInd w:val="0"/>
              <w:spacing w:line="440" w:lineRule="exact"/>
              <w:jc w:val="center"/>
              <w:rPr>
                <w:rFonts w:ascii="宋体" w:hAnsi="宋体" w:cs="宋体"/>
                <w:bCs/>
                <w:szCs w:val="21"/>
              </w:rPr>
            </w:pPr>
          </w:p>
        </w:tc>
      </w:tr>
    </w:tbl>
    <w:p>
      <w:pPr>
        <w:rPr>
          <w:rFonts w:ascii="宋体" w:hAnsi="宋体"/>
          <w:sz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1C2D7"/>
    <w:multiLevelType w:val="singleLevel"/>
    <w:tmpl w:val="3CC1C2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VjYzc1YWE1ZDY5ZTBhMjhkOTc1M2MxMTMzMzJhMTAifQ=="/>
  </w:docVars>
  <w:rsids>
    <w:rsidRoot w:val="0021765C"/>
    <w:rsid w:val="00006B23"/>
    <w:rsid w:val="00101055"/>
    <w:rsid w:val="00172098"/>
    <w:rsid w:val="001A2E0A"/>
    <w:rsid w:val="001C3436"/>
    <w:rsid w:val="00204E07"/>
    <w:rsid w:val="0021765C"/>
    <w:rsid w:val="00293342"/>
    <w:rsid w:val="002D465D"/>
    <w:rsid w:val="0035345C"/>
    <w:rsid w:val="003A3903"/>
    <w:rsid w:val="003F4B3D"/>
    <w:rsid w:val="00411B54"/>
    <w:rsid w:val="00412297"/>
    <w:rsid w:val="00525E5C"/>
    <w:rsid w:val="00527C0D"/>
    <w:rsid w:val="00544162"/>
    <w:rsid w:val="005459E1"/>
    <w:rsid w:val="0063702E"/>
    <w:rsid w:val="00697BB0"/>
    <w:rsid w:val="00714732"/>
    <w:rsid w:val="00743BEA"/>
    <w:rsid w:val="007D0F38"/>
    <w:rsid w:val="00855AB0"/>
    <w:rsid w:val="00857394"/>
    <w:rsid w:val="00857CF3"/>
    <w:rsid w:val="00860BDF"/>
    <w:rsid w:val="00914200"/>
    <w:rsid w:val="009347C6"/>
    <w:rsid w:val="00987B50"/>
    <w:rsid w:val="00997C38"/>
    <w:rsid w:val="009E2D17"/>
    <w:rsid w:val="00A073B6"/>
    <w:rsid w:val="00A25AA4"/>
    <w:rsid w:val="00A84A99"/>
    <w:rsid w:val="00B063B7"/>
    <w:rsid w:val="00B73D92"/>
    <w:rsid w:val="00BA73BA"/>
    <w:rsid w:val="00C404BE"/>
    <w:rsid w:val="00C64DF1"/>
    <w:rsid w:val="00D03E7C"/>
    <w:rsid w:val="00DD5B47"/>
    <w:rsid w:val="00DF2464"/>
    <w:rsid w:val="00E83A0A"/>
    <w:rsid w:val="00ED1DC3"/>
    <w:rsid w:val="00F0449B"/>
    <w:rsid w:val="00F7514F"/>
    <w:rsid w:val="00F77392"/>
    <w:rsid w:val="01C15ED7"/>
    <w:rsid w:val="01E933D0"/>
    <w:rsid w:val="05AE53ED"/>
    <w:rsid w:val="07620875"/>
    <w:rsid w:val="08206FAF"/>
    <w:rsid w:val="088B5442"/>
    <w:rsid w:val="0A1B13A6"/>
    <w:rsid w:val="0C583667"/>
    <w:rsid w:val="0D492691"/>
    <w:rsid w:val="0D55237A"/>
    <w:rsid w:val="0EDA5F4A"/>
    <w:rsid w:val="101B4F71"/>
    <w:rsid w:val="11215D00"/>
    <w:rsid w:val="116F5E3C"/>
    <w:rsid w:val="11BE7D21"/>
    <w:rsid w:val="125151D8"/>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453AE8"/>
    <w:rsid w:val="206831B1"/>
    <w:rsid w:val="23683A18"/>
    <w:rsid w:val="23E7584F"/>
    <w:rsid w:val="268A1BB3"/>
    <w:rsid w:val="2A885D27"/>
    <w:rsid w:val="2AA33888"/>
    <w:rsid w:val="2C6C3AC1"/>
    <w:rsid w:val="2CBB725F"/>
    <w:rsid w:val="2D5D7614"/>
    <w:rsid w:val="2D79575C"/>
    <w:rsid w:val="2E712EDD"/>
    <w:rsid w:val="2EBD544A"/>
    <w:rsid w:val="2F4263DE"/>
    <w:rsid w:val="2F980E41"/>
    <w:rsid w:val="2FB36F7C"/>
    <w:rsid w:val="32A966F2"/>
    <w:rsid w:val="34326E09"/>
    <w:rsid w:val="34AF794B"/>
    <w:rsid w:val="35DF56B3"/>
    <w:rsid w:val="36891F17"/>
    <w:rsid w:val="397337AD"/>
    <w:rsid w:val="39AD7AFB"/>
    <w:rsid w:val="3B150E18"/>
    <w:rsid w:val="3B856185"/>
    <w:rsid w:val="3C2053DE"/>
    <w:rsid w:val="3C5A7ECD"/>
    <w:rsid w:val="3C8138D7"/>
    <w:rsid w:val="3C963008"/>
    <w:rsid w:val="3CF8165C"/>
    <w:rsid w:val="3F196F49"/>
    <w:rsid w:val="407E146F"/>
    <w:rsid w:val="40C43099"/>
    <w:rsid w:val="41B0738E"/>
    <w:rsid w:val="42E42773"/>
    <w:rsid w:val="447A3E90"/>
    <w:rsid w:val="45815466"/>
    <w:rsid w:val="45B122E0"/>
    <w:rsid w:val="47D67E4A"/>
    <w:rsid w:val="48574A53"/>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22D2BA8"/>
    <w:rsid w:val="58591307"/>
    <w:rsid w:val="59480742"/>
    <w:rsid w:val="5A5714B1"/>
    <w:rsid w:val="5CEB018E"/>
    <w:rsid w:val="5D4446FE"/>
    <w:rsid w:val="5E0B1387"/>
    <w:rsid w:val="5E753BD4"/>
    <w:rsid w:val="5EC71180"/>
    <w:rsid w:val="5F580C6B"/>
    <w:rsid w:val="5FA44E0F"/>
    <w:rsid w:val="5FE15E62"/>
    <w:rsid w:val="60182200"/>
    <w:rsid w:val="60872EF7"/>
    <w:rsid w:val="61F160E0"/>
    <w:rsid w:val="63895A12"/>
    <w:rsid w:val="644C371A"/>
    <w:rsid w:val="66AF192B"/>
    <w:rsid w:val="6741119A"/>
    <w:rsid w:val="677850FC"/>
    <w:rsid w:val="6AC879A3"/>
    <w:rsid w:val="6C1727C7"/>
    <w:rsid w:val="6C1D026B"/>
    <w:rsid w:val="6C851FDC"/>
    <w:rsid w:val="6CAC708E"/>
    <w:rsid w:val="6DC1032B"/>
    <w:rsid w:val="6DCA297E"/>
    <w:rsid w:val="6E7D7016"/>
    <w:rsid w:val="6EE6418B"/>
    <w:rsid w:val="6F8010C8"/>
    <w:rsid w:val="6F957CEC"/>
    <w:rsid w:val="6FB54CDB"/>
    <w:rsid w:val="73A94275"/>
    <w:rsid w:val="7547180C"/>
    <w:rsid w:val="788B7F60"/>
    <w:rsid w:val="79727A43"/>
    <w:rsid w:val="79740B4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Plain Text"/>
    <w:basedOn w:val="1"/>
    <w:qFormat/>
    <w:uiPriority w:val="0"/>
    <w:pPr>
      <w:widowControl w:val="0"/>
      <w:jc w:val="both"/>
    </w:pPr>
    <w:rPr>
      <w:rFonts w:ascii="宋体" w:hAnsi="Courier New"/>
      <w:kern w:val="2"/>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Anrede1IhrZeichen"/>
    <w:basedOn w:val="11"/>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1"/>
    <w:link w:val="7"/>
    <w:qFormat/>
    <w:uiPriority w:val="0"/>
    <w:rPr>
      <w:rFonts w:ascii="Times New Roman" w:hAnsi="Times New Roman" w:eastAsia="宋体" w:cs="Times New Roman"/>
      <w:kern w:val="2"/>
      <w:sz w:val="18"/>
      <w:szCs w:val="18"/>
    </w:rPr>
  </w:style>
  <w:style w:type="character" w:customStyle="1" w:styleId="17">
    <w:name w:val="font61"/>
    <w:basedOn w:val="11"/>
    <w:qFormat/>
    <w:uiPriority w:val="0"/>
    <w:rPr>
      <w:rFonts w:hint="default" w:ascii="Times New Roman" w:hAnsi="Times New Roman" w:cs="Times New Roman"/>
      <w:color w:val="000000"/>
      <w:sz w:val="28"/>
      <w:szCs w:val="28"/>
      <w:u w:val="none"/>
    </w:rPr>
  </w:style>
  <w:style w:type="character" w:customStyle="1" w:styleId="18">
    <w:name w:val="font51"/>
    <w:basedOn w:val="11"/>
    <w:qFormat/>
    <w:uiPriority w:val="0"/>
    <w:rPr>
      <w:rFonts w:hint="eastAsia" w:ascii="宋体" w:hAnsi="宋体" w:eastAsia="宋体" w:cs="宋体"/>
      <w:color w:val="000000"/>
      <w:sz w:val="28"/>
      <w:szCs w:val="28"/>
      <w:u w:val="none"/>
    </w:rPr>
  </w:style>
  <w:style w:type="paragraph" w:customStyle="1" w:styleId="19">
    <w:name w:val="Plain Text"/>
    <w:basedOn w:val="1"/>
    <w:qFormat/>
    <w:uiPriority w:val="0"/>
    <w:pPr>
      <w:widowControl w:val="0"/>
      <w:jc w:val="both"/>
    </w:pPr>
    <w:rPr>
      <w:rFonts w:ascii="宋体" w:hAnsi="Courier New"/>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4C31D3-4BCC-4CD6-97FC-4EB169CB7B80}">
  <ds:schemaRefs/>
</ds:datastoreItem>
</file>

<file path=docProps/app.xml><?xml version="1.0" encoding="utf-8"?>
<Properties xmlns="http://schemas.openxmlformats.org/officeDocument/2006/extended-properties" xmlns:vt="http://schemas.openxmlformats.org/officeDocument/2006/docPropsVTypes">
  <Template>Normal</Template>
  <Pages>6</Pages>
  <Words>2986</Words>
  <Characters>3225</Characters>
  <Lines>14</Lines>
  <Paragraphs>4</Paragraphs>
  <TotalTime>0</TotalTime>
  <ScaleCrop>false</ScaleCrop>
  <LinksUpToDate>false</LinksUpToDate>
  <CharactersWithSpaces>3354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酸小敏</cp:lastModifiedBy>
  <dcterms:modified xsi:type="dcterms:W3CDTF">2022-10-09T03:31:21Z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3E465D5279D54E8C85B8DEAAA68BB77D</vt:lpwstr>
  </property>
</Properties>
</file>