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表1</w:t>
      </w:r>
    </w:p>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黑体" w:hAnsi="黑体" w:eastAsia="黑体"/>
          <w:color w:val="000000" w:themeColor="text1"/>
          <w:sz w:val="18"/>
          <w:szCs w:val="18"/>
          <w14:textFill>
            <w14:solidFill>
              <w14:schemeClr w14:val="tx1"/>
            </w14:solidFill>
          </w14:textFill>
        </w:rPr>
      </w:pPr>
    </w:p>
    <w:tbl>
      <w:tblPr>
        <w:tblStyle w:val="7"/>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8072" w:type="dxa"/>
            <w:vAlign w:val="center"/>
          </w:tcPr>
          <w:p>
            <w:pPr>
              <w:spacing w:line="44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8072" w:type="dxa"/>
            <w:vAlign w:val="center"/>
          </w:tcPr>
          <w:p>
            <w:pPr>
              <w:spacing w:line="44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不锈钢四分类垃圾桶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8072"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¥ 9</w:t>
            </w:r>
            <w:r>
              <w:rPr>
                <w:rFonts w:hint="eastAsia" w:ascii="宋体" w:hAnsi="宋体"/>
                <w:color w:val="000000" w:themeColor="text1"/>
                <w:sz w:val="24"/>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8072" w:type="dxa"/>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采购要求</w:t>
            </w:r>
          </w:p>
        </w:tc>
        <w:tc>
          <w:tcPr>
            <w:tcW w:w="8072" w:type="dxa"/>
          </w:tcPr>
          <w:p>
            <w:pPr>
              <w:spacing w:line="440" w:lineRule="exact"/>
              <w:rPr>
                <w:rFonts w:hint="default" w:ascii="宋体" w:hAnsi="宋体" w:eastAsia="宋体"/>
                <w:color w:val="000000" w:themeColor="text1"/>
                <w:sz w:val="21"/>
                <w:szCs w:val="21"/>
                <w:lang w:val="en-US" w:eastAsia="zh-CN"/>
                <w14:textFill>
                  <w14:solidFill>
                    <w14:schemeClr w14:val="tx1"/>
                  </w14:solidFill>
                </w14:textFill>
              </w:rPr>
            </w:pPr>
            <w:r>
              <w:rPr>
                <w:rFonts w:ascii="宋体" w:hAnsi="宋体" w:eastAsia="宋体"/>
                <w:b/>
                <w:color w:val="000000" w:themeColor="text1"/>
                <w:sz w:val="21"/>
                <w:szCs w:val="21"/>
                <w14:textFill>
                  <w14:solidFill>
                    <w14:schemeClr w14:val="tx1"/>
                  </w14:solidFill>
                </w14:textFill>
              </w:rPr>
              <w:t>一、项目</w:t>
            </w:r>
            <w:r>
              <w:rPr>
                <w:rFonts w:hint="eastAsia" w:ascii="宋体" w:hAnsi="宋体" w:eastAsia="宋体"/>
                <w:b/>
                <w:color w:val="000000" w:themeColor="text1"/>
                <w:sz w:val="21"/>
                <w:szCs w:val="21"/>
                <w:lang w:val="en-US" w:eastAsia="zh-CN"/>
                <w14:textFill>
                  <w14:solidFill>
                    <w14:schemeClr w14:val="tx1"/>
                  </w14:solidFill>
                </w14:textFill>
              </w:rPr>
              <w:t>清单及参数要求</w:t>
            </w:r>
          </w:p>
          <w:tbl>
            <w:tblPr>
              <w:tblStyle w:val="7"/>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32"/>
              <w:gridCol w:w="1023"/>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2" w:type="dxa"/>
                  <w:noWrap w:val="0"/>
                  <w:vAlign w:val="center"/>
                </w:tcPr>
                <w:p>
                  <w:pPr>
                    <w:spacing w:line="440" w:lineRule="exact"/>
                    <w:jc w:val="center"/>
                    <w:rPr>
                      <w:rFonts w:ascii="宋体" w:hAnsi="宋体" w:eastAsia="宋体"/>
                      <w:b/>
                      <w:color w:val="000000"/>
                      <w:sz w:val="21"/>
                      <w:szCs w:val="21"/>
                    </w:rPr>
                  </w:pPr>
                  <w:r>
                    <w:rPr>
                      <w:rFonts w:hint="eastAsia" w:ascii="宋体" w:hAnsi="宋体" w:eastAsia="宋体"/>
                      <w:b/>
                      <w:color w:val="000000"/>
                      <w:sz w:val="21"/>
                      <w:szCs w:val="21"/>
                      <w:lang w:val="en-US" w:eastAsia="zh-CN"/>
                    </w:rPr>
                    <w:t>货物</w:t>
                  </w:r>
                  <w:r>
                    <w:rPr>
                      <w:rFonts w:ascii="宋体" w:hAnsi="宋体" w:eastAsia="宋体"/>
                      <w:b/>
                      <w:color w:val="000000"/>
                      <w:sz w:val="21"/>
                      <w:szCs w:val="21"/>
                    </w:rPr>
                    <w:t>名称</w:t>
                  </w:r>
                </w:p>
              </w:tc>
              <w:tc>
                <w:tcPr>
                  <w:tcW w:w="832" w:type="dxa"/>
                  <w:noWrap w:val="0"/>
                  <w:vAlign w:val="center"/>
                </w:tcPr>
                <w:p>
                  <w:pPr>
                    <w:spacing w:line="440" w:lineRule="exact"/>
                    <w:jc w:val="center"/>
                    <w:rPr>
                      <w:rFonts w:ascii="宋体" w:hAnsi="宋体" w:eastAsia="宋体"/>
                      <w:b/>
                      <w:color w:val="000000"/>
                      <w:sz w:val="21"/>
                      <w:szCs w:val="21"/>
                    </w:rPr>
                  </w:pPr>
                  <w:r>
                    <w:rPr>
                      <w:rFonts w:ascii="宋体" w:hAnsi="宋体" w:eastAsia="宋体"/>
                      <w:b/>
                      <w:color w:val="000000"/>
                      <w:sz w:val="21"/>
                      <w:szCs w:val="21"/>
                    </w:rPr>
                    <w:t>数量</w:t>
                  </w:r>
                </w:p>
              </w:tc>
              <w:tc>
                <w:tcPr>
                  <w:tcW w:w="1023" w:type="dxa"/>
                  <w:noWrap w:val="0"/>
                  <w:vAlign w:val="center"/>
                </w:tcPr>
                <w:p>
                  <w:pPr>
                    <w:spacing w:line="440" w:lineRule="exact"/>
                    <w:jc w:val="center"/>
                    <w:rPr>
                      <w:rFonts w:ascii="宋体" w:hAnsi="宋体" w:eastAsia="宋体"/>
                      <w:b/>
                      <w:color w:val="000000"/>
                      <w:sz w:val="21"/>
                      <w:szCs w:val="21"/>
                    </w:rPr>
                  </w:pPr>
                  <w:r>
                    <w:rPr>
                      <w:rFonts w:ascii="宋体" w:hAnsi="宋体" w:eastAsia="宋体"/>
                      <w:b/>
                      <w:color w:val="000000"/>
                      <w:sz w:val="21"/>
                      <w:szCs w:val="21"/>
                    </w:rPr>
                    <w:t>单位</w:t>
                  </w:r>
                </w:p>
              </w:tc>
              <w:tc>
                <w:tcPr>
                  <w:tcW w:w="4486" w:type="dxa"/>
                  <w:noWrap w:val="0"/>
                  <w:vAlign w:val="center"/>
                </w:tcPr>
                <w:p>
                  <w:pPr>
                    <w:spacing w:line="440" w:lineRule="exact"/>
                    <w:jc w:val="center"/>
                    <w:rPr>
                      <w:rFonts w:ascii="宋体" w:hAnsi="宋体" w:eastAsia="宋体"/>
                      <w:b/>
                      <w:color w:val="000000"/>
                      <w:sz w:val="21"/>
                      <w:szCs w:val="21"/>
                    </w:rPr>
                  </w:pPr>
                  <w:r>
                    <w:rPr>
                      <w:rFonts w:ascii="宋体" w:hAnsi="宋体" w:eastAsia="宋体"/>
                      <w:b/>
                      <w:color w:val="000000"/>
                      <w:sz w:val="21"/>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322" w:type="dxa"/>
                  <w:noWrap w:val="0"/>
                  <w:vAlign w:val="center"/>
                </w:tcPr>
                <w:p>
                  <w:pPr>
                    <w:spacing w:line="440" w:lineRule="exact"/>
                    <w:jc w:val="center"/>
                    <w:rPr>
                      <w:rFonts w:hint="default" w:ascii="宋体" w:hAnsi="宋体" w:eastAsia="宋体"/>
                      <w:b/>
                      <w:color w:val="000000"/>
                      <w:sz w:val="21"/>
                      <w:szCs w:val="21"/>
                      <w:lang w:val="en-US" w:eastAsia="zh-CN"/>
                    </w:rPr>
                  </w:pPr>
                  <w:r>
                    <w:rPr>
                      <w:rFonts w:hint="eastAsia" w:ascii="宋体" w:hAnsi="宋体"/>
                      <w:color w:val="000000"/>
                      <w:sz w:val="21"/>
                      <w:szCs w:val="21"/>
                      <w:lang w:val="en-US" w:eastAsia="zh-CN"/>
                    </w:rPr>
                    <w:t>不锈钢四分类垃圾桶</w:t>
                  </w:r>
                </w:p>
              </w:tc>
              <w:tc>
                <w:tcPr>
                  <w:tcW w:w="832" w:type="dxa"/>
                  <w:noWrap w:val="0"/>
                  <w:vAlign w:val="center"/>
                </w:tcPr>
                <w:p>
                  <w:pPr>
                    <w:spacing w:line="44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36</w:t>
                  </w:r>
                </w:p>
              </w:tc>
              <w:tc>
                <w:tcPr>
                  <w:tcW w:w="1023" w:type="dxa"/>
                  <w:noWrap w:val="0"/>
                  <w:vAlign w:val="center"/>
                </w:tcPr>
                <w:p>
                  <w:pPr>
                    <w:spacing w:line="440" w:lineRule="exact"/>
                    <w:jc w:val="center"/>
                    <w:rPr>
                      <w:rFonts w:ascii="宋体" w:hAnsi="宋体" w:eastAsia="宋体"/>
                      <w:color w:val="000000"/>
                      <w:sz w:val="21"/>
                      <w:szCs w:val="21"/>
                    </w:rPr>
                  </w:pPr>
                  <w:r>
                    <w:rPr>
                      <w:rFonts w:ascii="宋体" w:hAnsi="宋体" w:eastAsia="宋体"/>
                      <w:color w:val="000000"/>
                      <w:sz w:val="21"/>
                      <w:szCs w:val="21"/>
                    </w:rPr>
                    <w:t>个</w:t>
                  </w:r>
                </w:p>
              </w:tc>
              <w:tc>
                <w:tcPr>
                  <w:tcW w:w="4486" w:type="dxa"/>
                  <w:noWrap w:val="0"/>
                  <w:vAlign w:val="center"/>
                </w:tcPr>
                <w:p>
                  <w:pPr>
                    <w:numPr>
                      <w:ilvl w:val="0"/>
                      <w:numId w:val="0"/>
                    </w:numPr>
                    <w:spacing w:line="440" w:lineRule="exact"/>
                    <w:jc w:val="left"/>
                    <w:rPr>
                      <w:rFonts w:hint="eastAsia" w:ascii="宋体" w:hAnsi="宋体" w:eastAsia="宋体"/>
                      <w:color w:val="000000"/>
                      <w:sz w:val="21"/>
                      <w:szCs w:val="21"/>
                    </w:rPr>
                  </w:pPr>
                  <w:r>
                    <w:rPr>
                      <w:rFonts w:hint="eastAsia" w:ascii="宋体" w:hAnsi="宋体"/>
                      <w:color w:val="000000"/>
                      <w:sz w:val="21"/>
                      <w:szCs w:val="21"/>
                      <w:lang w:val="en-US" w:eastAsia="zh-CN"/>
                    </w:rPr>
                    <w:t>1、</w:t>
                  </w:r>
                  <w:r>
                    <w:rPr>
                      <w:rFonts w:hint="eastAsia" w:ascii="宋体" w:hAnsi="宋体" w:eastAsia="宋体"/>
                      <w:color w:val="000000"/>
                      <w:sz w:val="21"/>
                      <w:szCs w:val="21"/>
                    </w:rPr>
                    <w:t>材质：全304不锈钢（配4个</w:t>
                  </w:r>
                  <w:r>
                    <w:rPr>
                      <w:rFonts w:hint="eastAsia" w:ascii="宋体" w:hAnsi="宋体"/>
                      <w:color w:val="000000"/>
                      <w:sz w:val="21"/>
                      <w:szCs w:val="21"/>
                      <w:lang w:val="en-US" w:eastAsia="zh-CN"/>
                    </w:rPr>
                    <w:t>塑料</w:t>
                  </w:r>
                  <w:r>
                    <w:rPr>
                      <w:rFonts w:hint="eastAsia" w:ascii="宋体" w:hAnsi="宋体" w:eastAsia="宋体"/>
                      <w:color w:val="000000"/>
                      <w:sz w:val="21"/>
                      <w:szCs w:val="21"/>
                    </w:rPr>
                    <w:t>内桶</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eastAsia="宋体"/>
                      <w:color w:val="000000"/>
                      <w:sz w:val="21"/>
                      <w:szCs w:val="21"/>
                    </w:rPr>
                    <w:t>2、规格：</w:t>
                  </w:r>
                  <w:r>
                    <w:rPr>
                      <w:rFonts w:hint="eastAsia" w:ascii="宋体" w:hAnsi="宋体" w:eastAsia="宋体"/>
                      <w:color w:val="000000"/>
                      <w:sz w:val="21"/>
                      <w:szCs w:val="21"/>
                      <w:lang w:val="en-US" w:eastAsia="zh-CN"/>
                    </w:rPr>
                    <w:t>长</w:t>
                  </w:r>
                  <w:r>
                    <w:rPr>
                      <w:rFonts w:hint="eastAsia" w:ascii="宋体" w:hAnsi="宋体" w:eastAsia="宋体"/>
                      <w:color w:val="000000"/>
                      <w:sz w:val="21"/>
                      <w:szCs w:val="21"/>
                    </w:rPr>
                    <w:t>1400~1600mm×</w:t>
                  </w:r>
                  <w:r>
                    <w:rPr>
                      <w:rFonts w:hint="eastAsia" w:ascii="宋体" w:hAnsi="宋体" w:eastAsia="宋体"/>
                      <w:color w:val="000000"/>
                      <w:sz w:val="21"/>
                      <w:szCs w:val="21"/>
                      <w:lang w:val="en-US" w:eastAsia="zh-CN"/>
                    </w:rPr>
                    <w:t>宽</w:t>
                  </w:r>
                  <w:r>
                    <w:rPr>
                      <w:rFonts w:hint="eastAsia" w:ascii="宋体" w:hAnsi="宋体" w:eastAsia="宋体"/>
                      <w:color w:val="000000"/>
                      <w:sz w:val="21"/>
                      <w:szCs w:val="21"/>
                    </w:rPr>
                    <w:t>350~500mm×</w:t>
                  </w:r>
                  <w:r>
                    <w:rPr>
                      <w:rFonts w:hint="eastAsia" w:ascii="宋体" w:hAnsi="宋体" w:eastAsia="宋体"/>
                      <w:color w:val="000000"/>
                      <w:sz w:val="21"/>
                      <w:szCs w:val="21"/>
                      <w:lang w:val="en-US" w:eastAsia="zh-CN"/>
                    </w:rPr>
                    <w:t>高</w:t>
                  </w:r>
                  <w:r>
                    <w:rPr>
                      <w:rFonts w:hint="eastAsia" w:ascii="宋体" w:hAnsi="宋体" w:eastAsia="宋体"/>
                      <w:color w:val="000000"/>
                      <w:sz w:val="21"/>
                      <w:szCs w:val="21"/>
                    </w:rPr>
                    <w:t xml:space="preserve">850~1000mm </w:t>
                  </w:r>
                </w:p>
                <w:p>
                  <w:pPr>
                    <w:numPr>
                      <w:ilvl w:val="0"/>
                      <w:numId w:val="0"/>
                    </w:numPr>
                    <w:spacing w:line="440" w:lineRule="exact"/>
                    <w:ind w:leftChars="0"/>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3、不锈钢桶外壁必须印有符合国家规定的4个分类垃圾标识（可回收物、有害垃圾、厨余垃圾、其他垃圾）；</w:t>
                  </w:r>
                </w:p>
                <w:p>
                  <w:pPr>
                    <w:numPr>
                      <w:ilvl w:val="0"/>
                      <w:numId w:val="0"/>
                    </w:numPr>
                    <w:spacing w:line="440" w:lineRule="exact"/>
                    <w:ind w:leftChars="0"/>
                    <w:jc w:val="left"/>
                    <w:rPr>
                      <w:rFonts w:hint="default" w:ascii="宋体" w:hAnsi="宋体"/>
                      <w:color w:val="000000"/>
                      <w:sz w:val="21"/>
                      <w:szCs w:val="21"/>
                      <w:lang w:val="en-US" w:eastAsia="zh-CN"/>
                    </w:rPr>
                  </w:pPr>
                  <w:bookmarkStart w:id="0" w:name="_GoBack"/>
                  <w:bookmarkEnd w:id="0"/>
                  <w:r>
                    <w:rPr>
                      <w:rFonts w:hint="eastAsia" w:ascii="宋体" w:hAnsi="宋体"/>
                      <w:color w:val="000000"/>
                      <w:sz w:val="21"/>
                      <w:szCs w:val="21"/>
                      <w:lang w:val="en-US" w:eastAsia="zh-CN"/>
                    </w:rPr>
                    <w:t>4、垃圾桶背后不要挡板；</w:t>
                  </w:r>
                </w:p>
                <w:p>
                  <w:pPr>
                    <w:numPr>
                      <w:ilvl w:val="0"/>
                      <w:numId w:val="0"/>
                    </w:numPr>
                    <w:spacing w:line="440" w:lineRule="exact"/>
                    <w:ind w:leftChars="0"/>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5、垃圾桶面板不得配有烟灰缸。</w:t>
                  </w:r>
                </w:p>
              </w:tc>
            </w:tr>
          </w:tbl>
          <w:p>
            <w:pPr>
              <w:widowControl/>
              <w:spacing w:line="360" w:lineRule="auto"/>
              <w:jc w:val="left"/>
              <w:outlineLvl w:val="1"/>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val="en-US" w:eastAsia="zh-CN"/>
                <w14:textFill>
                  <w14:solidFill>
                    <w14:schemeClr w14:val="tx1"/>
                  </w14:solidFill>
                </w14:textFill>
              </w:rPr>
              <w:t>二</w:t>
            </w:r>
            <w:r>
              <w:rPr>
                <w:rFonts w:hint="eastAsia" w:ascii="宋体" w:hAnsi="宋体" w:eastAsia="宋体"/>
                <w:b/>
                <w:color w:val="000000" w:themeColor="text1"/>
                <w:sz w:val="21"/>
                <w:szCs w:val="21"/>
                <w14:textFill>
                  <w14:solidFill>
                    <w14:schemeClr w14:val="tx1"/>
                  </w14:solidFill>
                </w14:textFill>
              </w:rPr>
              <w:t>、投标报价要求</w:t>
            </w:r>
          </w:p>
          <w:p>
            <w:pPr>
              <w:widowControl/>
              <w:spacing w:line="360" w:lineRule="auto"/>
              <w:ind w:firstLine="422" w:firstLineChars="200"/>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1、预算金额为:¥</w:t>
            </w:r>
            <w:r>
              <w:rPr>
                <w:rFonts w:hint="eastAsia" w:ascii="宋体" w:hAnsi="宋体" w:eastAsia="宋体"/>
                <w:b/>
                <w:bCs/>
                <w:color w:val="000000" w:themeColor="text1"/>
                <w:sz w:val="21"/>
                <w:szCs w:val="21"/>
                <w:lang w:val="en-US" w:eastAsia="zh-CN"/>
                <w14:textFill>
                  <w14:solidFill>
                    <w14:schemeClr w14:val="tx1"/>
                  </w14:solidFill>
                </w14:textFill>
              </w:rPr>
              <w:t>9</w:t>
            </w:r>
            <w:r>
              <w:rPr>
                <w:rFonts w:hint="eastAsia" w:ascii="宋体" w:hAnsi="宋体" w:eastAsia="宋体"/>
                <w:b/>
                <w:bCs/>
                <w:color w:val="000000" w:themeColor="text1"/>
                <w:sz w:val="21"/>
                <w:szCs w:val="21"/>
                <w14:textFill>
                  <w14:solidFill>
                    <w14:schemeClr w14:val="tx1"/>
                  </w14:solidFill>
                </w14:textFill>
              </w:rPr>
              <w:t>0000</w:t>
            </w:r>
            <w:r>
              <w:rPr>
                <w:rFonts w:ascii="宋体" w:hAnsi="宋体" w:eastAsia="宋体"/>
                <w:b/>
                <w:bCs/>
                <w:color w:val="000000" w:themeColor="text1"/>
                <w:sz w:val="21"/>
                <w:szCs w:val="21"/>
                <w14:textFill>
                  <w14:solidFill>
                    <w14:schemeClr w14:val="tx1"/>
                  </w14:solidFill>
                </w14:textFill>
              </w:rPr>
              <w:t>.00</w:t>
            </w:r>
            <w:r>
              <w:rPr>
                <w:rFonts w:hint="eastAsia" w:ascii="宋体" w:hAnsi="宋体" w:eastAsia="宋体"/>
                <w:b/>
                <w:bCs/>
                <w:color w:val="000000" w:themeColor="text1"/>
                <w:sz w:val="21"/>
                <w:szCs w:val="21"/>
                <w14:textFill>
                  <w14:solidFill>
                    <w14:schemeClr w14:val="tx1"/>
                  </w14:solidFill>
                </w14:textFill>
              </w:rPr>
              <w:t>元，低于（含等于）预算金额的为有效报价,否则为无效报价。</w:t>
            </w:r>
          </w:p>
          <w:p>
            <w:pPr>
              <w:widowControl/>
              <w:spacing w:line="360" w:lineRule="auto"/>
              <w:ind w:firstLine="422" w:firstLineChars="200"/>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2、本次响应报价应为人民币含税全包价，包括价格、包装费、运杂费、保险费、卸车费、安装费、配合费、检测费、税金及响应供应商认为需要的其他费用等。</w:t>
            </w:r>
          </w:p>
          <w:p>
            <w:pPr>
              <w:widowControl/>
              <w:spacing w:line="360" w:lineRule="auto"/>
              <w:ind w:firstLine="422" w:firstLineChars="200"/>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3、供应商单价报价中漏项、少报在费用，视为此项费用已隐含在投标报价中，成交供应商不得再向采购人收取任何费用。</w:t>
            </w:r>
          </w:p>
          <w:p>
            <w:pPr>
              <w:spacing w:line="360" w:lineRule="auto"/>
              <w:rPr>
                <w:rFonts w:ascii="宋体" w:hAnsi="宋体" w:eastAsia="宋体" w:cs="宋体"/>
                <w:b/>
                <w:sz w:val="21"/>
                <w:szCs w:val="21"/>
              </w:rPr>
            </w:pPr>
            <w:r>
              <w:rPr>
                <w:rFonts w:hint="eastAsia" w:ascii="宋体" w:hAnsi="宋体" w:eastAsia="宋体"/>
                <w:b/>
                <w:color w:val="000000" w:themeColor="text1"/>
                <w:sz w:val="21"/>
                <w:szCs w:val="21"/>
                <w:lang w:val="en-US" w:eastAsia="zh-CN"/>
                <w14:textFill>
                  <w14:solidFill>
                    <w14:schemeClr w14:val="tx1"/>
                  </w14:solidFill>
                </w14:textFill>
              </w:rPr>
              <w:t>三</w:t>
            </w:r>
            <w:r>
              <w:rPr>
                <w:rFonts w:ascii="宋体" w:hAnsi="宋体" w:eastAsia="宋体"/>
                <w:b/>
                <w:color w:val="000000" w:themeColor="text1"/>
                <w:sz w:val="21"/>
                <w:szCs w:val="21"/>
                <w14:textFill>
                  <w14:solidFill>
                    <w14:schemeClr w14:val="tx1"/>
                  </w14:solidFill>
                </w14:textFill>
              </w:rPr>
              <w:t>、</w:t>
            </w:r>
            <w:r>
              <w:rPr>
                <w:rFonts w:hint="eastAsia" w:ascii="宋体" w:hAnsi="宋体" w:eastAsia="宋体" w:cs="宋体"/>
                <w:b/>
                <w:sz w:val="21"/>
                <w:szCs w:val="21"/>
              </w:rPr>
              <w:t>资质要求</w:t>
            </w:r>
          </w:p>
          <w:p>
            <w:pPr>
              <w:widowControl/>
              <w:spacing w:line="360" w:lineRule="auto"/>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1、响应供应商必须是具有独立承担民事责任能力的在中华人民共和国境内注册的企业法人或其他组织；</w:t>
            </w:r>
          </w:p>
          <w:p>
            <w:pPr>
              <w:widowControl/>
              <w:spacing w:line="360" w:lineRule="auto"/>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2、响应供应商务须具有有效的且具备相关经营范围的营业执照；</w:t>
            </w:r>
          </w:p>
          <w:p>
            <w:pPr>
              <w:widowControl/>
              <w:spacing w:line="360" w:lineRule="auto"/>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3、响应供应商应具有项目的承接能力、合同的履约能力、售后服务能力和良好的信誉；</w:t>
            </w:r>
          </w:p>
          <w:p>
            <w:pPr>
              <w:widowControl/>
              <w:spacing w:line="360" w:lineRule="auto"/>
              <w:ind w:firstLine="420" w:firstLineChars="2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4、响应供应商在参与公开招标活动中未有违法违纪行为并受过处罚；单位负责人为同一人或者存在直接控股、管理关系的不同供应商，不得参加同一合同项下的采购活动；响应供应商须无围标、串标行为。</w:t>
            </w:r>
          </w:p>
          <w:p>
            <w:pPr>
              <w:spacing w:line="36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lang w:val="en-US" w:eastAsia="zh-CN"/>
                <w14:textFill>
                  <w14:solidFill>
                    <w14:schemeClr w14:val="tx1"/>
                  </w14:solidFill>
                </w14:textFill>
              </w:rPr>
              <w:t>四</w:t>
            </w:r>
            <w:r>
              <w:rPr>
                <w:rFonts w:hint="eastAsia" w:ascii="宋体" w:hAnsi="宋体" w:eastAsia="宋体"/>
                <w:b/>
                <w:bCs/>
                <w:color w:val="000000" w:themeColor="text1"/>
                <w:sz w:val="21"/>
                <w:szCs w:val="21"/>
                <w14:textFill>
                  <w14:solidFill>
                    <w14:schemeClr w14:val="tx1"/>
                  </w14:solidFill>
                </w14:textFill>
              </w:rPr>
              <w:t>、交货时间及地点</w:t>
            </w:r>
          </w:p>
          <w:p>
            <w:pPr>
              <w:widowControl/>
              <w:spacing w:line="360" w:lineRule="auto"/>
              <w:ind w:firstLine="420" w:firstLineChars="2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1、交货时间：成交供应商应保证充足的货源，有计划性进行供货，在收到采购人下单通知后</w:t>
            </w:r>
            <w:r>
              <w:rPr>
                <w:rFonts w:hint="eastAsia" w:ascii="宋体" w:hAnsi="宋体" w:eastAsia="宋体"/>
                <w:color w:val="000000" w:themeColor="text1"/>
                <w:sz w:val="21"/>
                <w:szCs w:val="21"/>
                <w:u w:val="single"/>
                <w14:textFill>
                  <w14:solidFill>
                    <w14:schemeClr w14:val="tx1"/>
                  </w14:solidFill>
                </w14:textFill>
              </w:rPr>
              <w:t>15</w:t>
            </w:r>
            <w:r>
              <w:rPr>
                <w:rFonts w:hint="eastAsia" w:ascii="宋体" w:hAnsi="宋体" w:eastAsia="宋体"/>
                <w:color w:val="000000" w:themeColor="text1"/>
                <w:sz w:val="21"/>
                <w:szCs w:val="21"/>
                <w14:textFill>
                  <w14:solidFill>
                    <w14:schemeClr w14:val="tx1"/>
                  </w14:solidFill>
                </w14:textFill>
              </w:rPr>
              <w:t>个日历天内把指定货物交付到中山市小榄人民医院。</w:t>
            </w:r>
          </w:p>
          <w:p>
            <w:pPr>
              <w:widowControl/>
              <w:spacing w:line="360" w:lineRule="auto"/>
              <w:ind w:firstLine="420" w:firstLineChars="2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2、交货地点：中山市小榄人民医院（采购人指定地点）</w:t>
            </w:r>
          </w:p>
          <w:p>
            <w:pPr>
              <w:spacing w:line="360" w:lineRule="auto"/>
              <w:rPr>
                <w:b/>
              </w:rPr>
            </w:pPr>
            <w:r>
              <w:rPr>
                <w:rFonts w:hint="eastAsia"/>
                <w:b/>
                <w:lang w:val="en-US" w:eastAsia="zh-CN"/>
              </w:rPr>
              <w:t>五</w:t>
            </w:r>
            <w:r>
              <w:rPr>
                <w:rFonts w:hint="eastAsia"/>
                <w:b/>
              </w:rPr>
              <w:t>、包装、装卸、运输、保管及保险</w:t>
            </w:r>
          </w:p>
          <w:p>
            <w:pPr>
              <w:widowControl w:val="0"/>
              <w:numPr>
                <w:ilvl w:val="0"/>
                <w:numId w:val="0"/>
              </w:numPr>
              <w:spacing w:line="360" w:lineRule="auto"/>
              <w:ind w:leftChars="0" w:firstLine="420" w:firstLineChars="200"/>
              <w:jc w:val="both"/>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0"/>
              </w:numPr>
              <w:spacing w:line="360" w:lineRule="auto"/>
              <w:ind w:leftChars="0" w:firstLine="420" w:firstLineChars="200"/>
              <w:jc w:val="both"/>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成交供应商负责根据用户指定的地点，将货物送到现场过程中的全部运输，包括装卸车、货物现场的搬运，由此产生的费用均由成交供应商承担。</w:t>
            </w:r>
          </w:p>
          <w:p>
            <w:pPr>
              <w:widowControl w:val="0"/>
              <w:numPr>
                <w:ilvl w:val="0"/>
                <w:numId w:val="0"/>
              </w:numPr>
              <w:spacing w:line="360" w:lineRule="auto"/>
              <w:ind w:leftChars="0" w:firstLine="420" w:firstLineChars="200"/>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cs="宋体"/>
                <w:color w:val="auto"/>
                <w:szCs w:val="21"/>
                <w:lang w:val="en-US" w:eastAsia="zh-CN"/>
              </w:rPr>
              <w:t>3、</w:t>
            </w:r>
            <w:r>
              <w:rPr>
                <w:rFonts w:hint="eastAsia" w:ascii="宋体" w:hAnsi="宋体" w:cs="宋体"/>
                <w:color w:val="auto"/>
                <w:szCs w:val="21"/>
              </w:rPr>
              <w:t>如货物运输过程中因事故造成货物短缺、损坏，成交供应商应及时安排换货，以保证合同货物及时交付，换货的相关费用由成交供应商承担。</w:t>
            </w:r>
          </w:p>
          <w:p>
            <w:pPr>
              <w:spacing w:line="440" w:lineRule="exact"/>
              <w:rPr>
                <w:rFonts w:ascii="宋体" w:hAnsi="宋体" w:eastAsia="宋体"/>
                <w:b/>
                <w:color w:val="000000" w:themeColor="text1"/>
                <w:sz w:val="21"/>
                <w:szCs w:val="21"/>
                <w14:textFill>
                  <w14:solidFill>
                    <w14:schemeClr w14:val="tx1"/>
                  </w14:solidFill>
                </w14:textFill>
              </w:rPr>
            </w:pPr>
            <w:r>
              <w:rPr>
                <w:rFonts w:hint="eastAsia" w:ascii="宋体" w:hAnsi="宋体" w:eastAsia="宋体"/>
                <w:b/>
                <w:color w:val="000000" w:themeColor="text1"/>
                <w:sz w:val="21"/>
                <w:szCs w:val="21"/>
                <w:lang w:val="en-US" w:eastAsia="zh-CN"/>
                <w14:textFill>
                  <w14:solidFill>
                    <w14:schemeClr w14:val="tx1"/>
                  </w14:solidFill>
                </w14:textFill>
              </w:rPr>
              <w:t>六</w:t>
            </w:r>
            <w:r>
              <w:rPr>
                <w:rFonts w:ascii="宋体" w:hAnsi="宋体" w:eastAsia="宋体"/>
                <w:b/>
                <w:color w:val="000000" w:themeColor="text1"/>
                <w:sz w:val="21"/>
                <w:szCs w:val="21"/>
                <w14:textFill>
                  <w14:solidFill>
                    <w14:schemeClr w14:val="tx1"/>
                  </w14:solidFill>
                </w14:textFill>
              </w:rPr>
              <w:t>、</w:t>
            </w:r>
            <w:r>
              <w:rPr>
                <w:rFonts w:hint="eastAsia" w:ascii="宋体" w:hAnsi="宋体" w:eastAsia="宋体"/>
                <w:b/>
                <w:color w:val="000000" w:themeColor="text1"/>
                <w:sz w:val="21"/>
                <w:szCs w:val="21"/>
                <w14:textFill>
                  <w14:solidFill>
                    <w14:schemeClr w14:val="tx1"/>
                  </w14:solidFill>
                </w14:textFill>
              </w:rPr>
              <w:t>售后服务</w:t>
            </w:r>
          </w:p>
          <w:p>
            <w:pPr>
              <w:widowControl/>
              <w:autoSpaceDE w:val="0"/>
              <w:autoSpaceDN w:val="0"/>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1、成交供应商所提供的货物是全新、未曾使用过的产品，其质量、规格、性能满足用户需求，否则采购人有权要求退换货。</w:t>
            </w:r>
          </w:p>
          <w:p>
            <w:pPr>
              <w:spacing w:line="360" w:lineRule="auto"/>
              <w:ind w:firstLine="420" w:firstLineChars="200"/>
              <w:rPr>
                <w:rFonts w:ascii="宋体" w:hAnsi="宋体" w:eastAsia="宋体" w:cs="宋体"/>
                <w:sz w:val="21"/>
                <w:szCs w:val="21"/>
                <w:highlight w:val="yellow"/>
              </w:rPr>
            </w:pPr>
            <w:r>
              <w:rPr>
                <w:rFonts w:hint="eastAsia" w:ascii="宋体" w:hAnsi="宋体" w:eastAsia="宋体"/>
                <w:color w:val="000000" w:themeColor="text1"/>
                <w:sz w:val="21"/>
                <w:szCs w:val="21"/>
                <w14:textFill>
                  <w14:solidFill>
                    <w14:schemeClr w14:val="tx1"/>
                  </w14:solidFill>
                </w14:textFill>
              </w:rPr>
              <w:t>2、质保期：所送货物质保期为验收合格后不少于1年，质保期内成交供应商须提供质量“三包”服务，质保期内因货物质量问题而引发的费用全部由成交供应商承担。</w:t>
            </w:r>
          </w:p>
          <w:p>
            <w:pPr>
              <w:spacing w:line="440" w:lineRule="exact"/>
              <w:rPr>
                <w:rFonts w:ascii="宋体" w:hAnsi="宋体" w:eastAsia="宋体"/>
                <w:b/>
                <w:bCs/>
                <w:sz w:val="21"/>
                <w:szCs w:val="21"/>
              </w:rPr>
            </w:pPr>
            <w:r>
              <w:rPr>
                <w:rFonts w:hint="eastAsia" w:ascii="宋体" w:hAnsi="宋体" w:eastAsia="宋体"/>
                <w:b/>
                <w:bCs/>
                <w:sz w:val="21"/>
                <w:szCs w:val="21"/>
                <w:lang w:val="en-US" w:eastAsia="zh-CN"/>
              </w:rPr>
              <w:t>七</w:t>
            </w:r>
            <w:r>
              <w:rPr>
                <w:rFonts w:ascii="宋体" w:hAnsi="宋体" w:eastAsia="宋体"/>
                <w:b/>
                <w:bCs/>
                <w:sz w:val="21"/>
                <w:szCs w:val="21"/>
              </w:rPr>
              <w:t>、验收</w:t>
            </w:r>
            <w:r>
              <w:rPr>
                <w:rFonts w:hint="eastAsia" w:ascii="宋体" w:hAnsi="宋体" w:eastAsia="宋体"/>
                <w:b/>
                <w:bCs/>
                <w:sz w:val="21"/>
                <w:szCs w:val="21"/>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1、成交供应商将货物送货至采购人指定地点后，由采购人按照采购合同、相关询价文件、响应文件要求进行核对，根据国家相关法律法规、质量标准，对货物的规格参数和质量进行验收。</w:t>
            </w:r>
          </w:p>
          <w:p>
            <w:pPr>
              <w:widowControl/>
              <w:autoSpaceDE w:val="0"/>
              <w:autoSpaceDN w:val="0"/>
              <w:spacing w:line="360" w:lineRule="auto"/>
              <w:ind w:firstLine="210" w:firstLineChars="100"/>
              <w:rPr>
                <w:rFonts w:ascii="宋体" w:hAnsi="宋体" w:eastAsia="宋体"/>
                <w:color w:val="000000" w:themeColor="text1"/>
                <w:sz w:val="21"/>
                <w:szCs w:val="21"/>
                <w14:textFill>
                  <w14:solidFill>
                    <w14:schemeClr w14:val="tx1"/>
                  </w14:solidFill>
                </w14:textFill>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eastAsia="宋体"/>
                <w:color w:val="000000" w:themeColor="text1"/>
                <w:sz w:val="21"/>
                <w:szCs w:val="21"/>
                <w14:textFill>
                  <w14:solidFill>
                    <w14:schemeClr w14:val="tx1"/>
                  </w14:solidFill>
                </w14:textFill>
              </w:rPr>
              <w:t>、如货物不符合国家的有关质量标准的用料与生产工艺或用户需求书技术参数要求导致验收不合格的，采购人有权要求成交供应商无条件免费退换货物，退换期限为5个工作日内，由此产生的一切费用均由成交供应商承担，并赔偿采购人不能按时使用所带来的经济损失，采购人保留追究供应商的法律责任。</w:t>
            </w:r>
          </w:p>
          <w:p>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3</w:t>
            </w:r>
            <w:r>
              <w:rPr>
                <w:rFonts w:hint="eastAsia" w:ascii="宋体" w:hAnsi="宋体" w:eastAsia="宋体"/>
                <w:color w:val="000000" w:themeColor="text1"/>
                <w:sz w:val="21"/>
                <w:szCs w:val="21"/>
                <w14:textFill>
                  <w14:solidFill>
                    <w14:schemeClr w14:val="tx1"/>
                  </w14:solidFill>
                </w14:textFill>
              </w:rPr>
              <w:t>、发现成交供应商提供的货物以次充好或使用假冒伪劣产品的，采购人有权向成交供应商扣罚合同总金额5(%)的违约金，并有权单方中止合同。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4、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spacing w:line="440" w:lineRule="exact"/>
              <w:ind w:firstLine="420" w:firstLineChars="200"/>
              <w:rPr>
                <w:rFonts w:hint="eastAsia" w:ascii="宋体" w:hAnsi="宋体"/>
                <w:szCs w:val="21"/>
                <w:lang w:val="en-US" w:eastAsia="zh-CN"/>
              </w:rPr>
            </w:pPr>
            <w:r>
              <w:rPr>
                <w:rFonts w:hint="eastAsia" w:ascii="宋体" w:hAnsi="宋体"/>
                <w:szCs w:val="21"/>
                <w:lang w:val="en-US" w:eastAsia="zh-CN"/>
              </w:rPr>
              <w:t>5、若成交供应商提供的产品发生知识产权纠纷的，由成交供应商执行处置与原知识产权所有者协商解决，采购人不承担与之相关的任何经济和法律责任。</w:t>
            </w:r>
          </w:p>
          <w:p>
            <w:pPr>
              <w:spacing w:line="440" w:lineRule="exac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ascii="宋体" w:hAnsi="宋体" w:eastAsia="宋体"/>
                <w:b/>
                <w:bCs/>
                <w:color w:val="000000" w:themeColor="text1"/>
                <w:sz w:val="21"/>
                <w:szCs w:val="21"/>
                <w14:textFill>
                  <w14:solidFill>
                    <w14:schemeClr w14:val="tx1"/>
                  </w14:solidFill>
                </w14:textFill>
              </w:rPr>
              <w:t>、付款方式</w:t>
            </w:r>
          </w:p>
          <w:p>
            <w:pPr>
              <w:spacing w:line="440" w:lineRule="exact"/>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1、项目验收合格后，成交供应商提供合同金额的有效普通发票（含税），采购人核对发票无误后一个月内支付合同总金额的95%，剩余总额的5%作为质量保证金，质保期满后一次性无息退还。</w:t>
            </w:r>
          </w:p>
          <w:p>
            <w:pPr>
              <w:spacing w:line="44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2、成交供应商须开具与响应文件中响应单位名称、报价一致的发票。</w:t>
            </w:r>
          </w:p>
        </w:tc>
      </w:tr>
    </w:tbl>
    <w:p>
      <w:pP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p>
    <w:p>
      <w:pPr>
        <w:widowControl/>
        <w:jc w:val="left"/>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表2</w:t>
      </w:r>
    </w:p>
    <w:p>
      <w:pPr>
        <w:spacing w:line="440" w:lineRule="exact"/>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样板图片（选填）</w:t>
      </w:r>
    </w:p>
    <w:p>
      <w:pPr>
        <w:spacing w:line="440" w:lineRule="exact"/>
        <w:jc w:val="center"/>
        <w:rPr>
          <w:rFonts w:ascii="黑体" w:hAnsi="黑体" w:eastAsia="黑体"/>
          <w:b/>
          <w:color w:val="000000" w:themeColor="text1"/>
          <w:sz w:val="44"/>
          <w:szCs w:val="44"/>
          <w14:textFill>
            <w14:solidFill>
              <w14:schemeClr w14:val="tx1"/>
            </w14:solidFill>
          </w14:textFill>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7" w:hRule="atLeast"/>
          <w:jc w:val="center"/>
        </w:trPr>
        <w:tc>
          <w:tcPr>
            <w:tcW w:w="8528" w:type="dxa"/>
          </w:tcPr>
          <w:p>
            <w:pPr>
              <w:spacing w:line="440" w:lineRule="exact"/>
              <w:jc w:val="center"/>
              <w:rPr>
                <w:rFonts w:ascii="黑体" w:hAnsi="黑体" w:eastAsia="黑体"/>
                <w:b/>
                <w:color w:val="000000" w:themeColor="text1"/>
                <w:sz w:val="44"/>
                <w:szCs w:val="44"/>
                <w14:textFill>
                  <w14:solidFill>
                    <w14:schemeClr w14:val="tx1"/>
                  </w14:solidFill>
                </w14:textFill>
              </w:rPr>
            </w:pPr>
            <w:r>
              <w:rPr>
                <w:rFonts w:hint="eastAsia" w:eastAsia="宋体"/>
                <w:sz w:val="20"/>
                <w:szCs w:val="20"/>
                <w:lang w:eastAsia="zh-CN"/>
              </w:rPr>
              <w:drawing>
                <wp:anchor distT="0" distB="0" distL="114300" distR="114300" simplePos="0" relativeHeight="251659264" behindDoc="0" locked="0" layoutInCell="1" allowOverlap="1">
                  <wp:simplePos x="0" y="0"/>
                  <wp:positionH relativeFrom="column">
                    <wp:posOffset>452755</wp:posOffset>
                  </wp:positionH>
                  <wp:positionV relativeFrom="paragraph">
                    <wp:posOffset>189230</wp:posOffset>
                  </wp:positionV>
                  <wp:extent cx="4414520" cy="3902710"/>
                  <wp:effectExtent l="0" t="0" r="5080" b="2540"/>
                  <wp:wrapNone/>
                  <wp:docPr id="5" name="图片 5" descr="c9e409eb64589cf682fc6e42b8e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9e409eb64589cf682fc6e42b8e6516"/>
                          <pic:cNvPicPr>
                            <a:picLocks noChangeAspect="1"/>
                          </pic:cNvPicPr>
                        </pic:nvPicPr>
                        <pic:blipFill>
                          <a:blip r:embed="rId6"/>
                          <a:stretch>
                            <a:fillRect/>
                          </a:stretch>
                        </pic:blipFill>
                        <pic:spPr>
                          <a:xfrm>
                            <a:off x="0" y="0"/>
                            <a:ext cx="4414520" cy="3902710"/>
                          </a:xfrm>
                          <a:prstGeom prst="rect">
                            <a:avLst/>
                          </a:prstGeom>
                          <a:noFill/>
                          <a:ln>
                            <a:noFill/>
                          </a:ln>
                        </pic:spPr>
                      </pic:pic>
                    </a:graphicData>
                  </a:graphic>
                </wp:anchor>
              </w:drawing>
            </w:r>
          </w:p>
        </w:tc>
      </w:tr>
    </w:tbl>
    <w:p>
      <w:pPr>
        <w:spacing w:line="440" w:lineRule="exact"/>
        <w:rPr>
          <w:rFonts w:ascii="黑体" w:hAnsi="黑体" w:eastAsia="黑体"/>
          <w:b/>
          <w:color w:val="000000" w:themeColor="text1"/>
          <w:sz w:val="44"/>
          <w:szCs w:val="44"/>
          <w14:textFill>
            <w14:solidFill>
              <w14:schemeClr w14:val="tx1"/>
            </w14:solidFill>
          </w14:textFill>
        </w:rPr>
      </w:pPr>
    </w:p>
    <w:p>
      <w:pPr>
        <w:spacing w:line="440" w:lineRule="exact"/>
        <w:rPr>
          <w:rFonts w:ascii="黑体" w:hAnsi="黑体" w:eastAsia="黑体"/>
          <w:b/>
          <w:color w:val="000000" w:themeColor="text1"/>
          <w:sz w:val="24"/>
          <w14:textFill>
            <w14:solidFill>
              <w14:schemeClr w14:val="tx1"/>
            </w14:solidFill>
          </w14:textFill>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8"/>
        <w:szCs w:val="28"/>
        <w:u w:val="single"/>
      </w:rPr>
      <w:t>小榄人民医院采购需求书《B类》</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62D20299"/>
    <w:rsid w:val="00001A90"/>
    <w:rsid w:val="00005147"/>
    <w:rsid w:val="00056719"/>
    <w:rsid w:val="00075637"/>
    <w:rsid w:val="000A41EB"/>
    <w:rsid w:val="000C4668"/>
    <w:rsid w:val="000D2B79"/>
    <w:rsid w:val="000D4F36"/>
    <w:rsid w:val="000E0752"/>
    <w:rsid w:val="00100822"/>
    <w:rsid w:val="00102FD3"/>
    <w:rsid w:val="00103399"/>
    <w:rsid w:val="00104771"/>
    <w:rsid w:val="001213D3"/>
    <w:rsid w:val="0012618A"/>
    <w:rsid w:val="00146204"/>
    <w:rsid w:val="00171134"/>
    <w:rsid w:val="00196482"/>
    <w:rsid w:val="001A72D2"/>
    <w:rsid w:val="001B206E"/>
    <w:rsid w:val="00242798"/>
    <w:rsid w:val="002605DF"/>
    <w:rsid w:val="00264928"/>
    <w:rsid w:val="00274E64"/>
    <w:rsid w:val="00280D7C"/>
    <w:rsid w:val="002943CF"/>
    <w:rsid w:val="002A74B3"/>
    <w:rsid w:val="002C4BC7"/>
    <w:rsid w:val="002D5E50"/>
    <w:rsid w:val="002F4E03"/>
    <w:rsid w:val="00310106"/>
    <w:rsid w:val="00311469"/>
    <w:rsid w:val="003624E3"/>
    <w:rsid w:val="00381AF4"/>
    <w:rsid w:val="003864BF"/>
    <w:rsid w:val="00395879"/>
    <w:rsid w:val="003A3C15"/>
    <w:rsid w:val="003D0982"/>
    <w:rsid w:val="003D4CC3"/>
    <w:rsid w:val="003E3ABD"/>
    <w:rsid w:val="003E598C"/>
    <w:rsid w:val="003F7358"/>
    <w:rsid w:val="004029A7"/>
    <w:rsid w:val="00414DE8"/>
    <w:rsid w:val="00422ED9"/>
    <w:rsid w:val="00443A82"/>
    <w:rsid w:val="0047073F"/>
    <w:rsid w:val="0047407A"/>
    <w:rsid w:val="004C7C6F"/>
    <w:rsid w:val="004D1D03"/>
    <w:rsid w:val="004D4B2F"/>
    <w:rsid w:val="00525707"/>
    <w:rsid w:val="00565534"/>
    <w:rsid w:val="005D06AE"/>
    <w:rsid w:val="00614258"/>
    <w:rsid w:val="00617543"/>
    <w:rsid w:val="0063522D"/>
    <w:rsid w:val="006751AD"/>
    <w:rsid w:val="00676823"/>
    <w:rsid w:val="006B70A0"/>
    <w:rsid w:val="006D09DE"/>
    <w:rsid w:val="006E1F61"/>
    <w:rsid w:val="006E51F2"/>
    <w:rsid w:val="007070F7"/>
    <w:rsid w:val="0072215F"/>
    <w:rsid w:val="00757FB1"/>
    <w:rsid w:val="0076196C"/>
    <w:rsid w:val="00765AA9"/>
    <w:rsid w:val="007667DA"/>
    <w:rsid w:val="007B284D"/>
    <w:rsid w:val="007C57D0"/>
    <w:rsid w:val="007D6D63"/>
    <w:rsid w:val="007E085C"/>
    <w:rsid w:val="007F4D4C"/>
    <w:rsid w:val="00807037"/>
    <w:rsid w:val="00810BA7"/>
    <w:rsid w:val="00813FB5"/>
    <w:rsid w:val="00833CFC"/>
    <w:rsid w:val="00841F5E"/>
    <w:rsid w:val="008767B4"/>
    <w:rsid w:val="00896291"/>
    <w:rsid w:val="008C3806"/>
    <w:rsid w:val="008D08E7"/>
    <w:rsid w:val="008D5F17"/>
    <w:rsid w:val="008E3BF6"/>
    <w:rsid w:val="0091162F"/>
    <w:rsid w:val="00924EFA"/>
    <w:rsid w:val="009526F7"/>
    <w:rsid w:val="009531BB"/>
    <w:rsid w:val="00966A5F"/>
    <w:rsid w:val="00975F6E"/>
    <w:rsid w:val="009C7EB6"/>
    <w:rsid w:val="009D272C"/>
    <w:rsid w:val="009F0CE5"/>
    <w:rsid w:val="00A3332B"/>
    <w:rsid w:val="00A707A6"/>
    <w:rsid w:val="00A8361D"/>
    <w:rsid w:val="00A9618A"/>
    <w:rsid w:val="00AD1378"/>
    <w:rsid w:val="00AD353B"/>
    <w:rsid w:val="00B16008"/>
    <w:rsid w:val="00B16E08"/>
    <w:rsid w:val="00B334EA"/>
    <w:rsid w:val="00B375A3"/>
    <w:rsid w:val="00B4149F"/>
    <w:rsid w:val="00B42129"/>
    <w:rsid w:val="00B77686"/>
    <w:rsid w:val="00C06DD9"/>
    <w:rsid w:val="00C1058B"/>
    <w:rsid w:val="00C23789"/>
    <w:rsid w:val="00C24391"/>
    <w:rsid w:val="00C261BE"/>
    <w:rsid w:val="00C63D7E"/>
    <w:rsid w:val="00C96BF6"/>
    <w:rsid w:val="00CA0710"/>
    <w:rsid w:val="00D227FB"/>
    <w:rsid w:val="00D532AF"/>
    <w:rsid w:val="00D54E76"/>
    <w:rsid w:val="00D65103"/>
    <w:rsid w:val="00D65D81"/>
    <w:rsid w:val="00D81E13"/>
    <w:rsid w:val="00DB2DDB"/>
    <w:rsid w:val="00DB54F1"/>
    <w:rsid w:val="00DE1DC0"/>
    <w:rsid w:val="00E10EE7"/>
    <w:rsid w:val="00E361B4"/>
    <w:rsid w:val="00E6355B"/>
    <w:rsid w:val="00E73602"/>
    <w:rsid w:val="00E73B5E"/>
    <w:rsid w:val="00E745AA"/>
    <w:rsid w:val="00E832A1"/>
    <w:rsid w:val="00E9064E"/>
    <w:rsid w:val="00EA4E46"/>
    <w:rsid w:val="00ED6DAA"/>
    <w:rsid w:val="00F106EC"/>
    <w:rsid w:val="00F448DF"/>
    <w:rsid w:val="00F611D5"/>
    <w:rsid w:val="00F65A47"/>
    <w:rsid w:val="00F70BB0"/>
    <w:rsid w:val="00F7247F"/>
    <w:rsid w:val="00F7492E"/>
    <w:rsid w:val="00F94FD1"/>
    <w:rsid w:val="01AA7CAC"/>
    <w:rsid w:val="0B451A1A"/>
    <w:rsid w:val="172176D0"/>
    <w:rsid w:val="1BAF6547"/>
    <w:rsid w:val="212A5145"/>
    <w:rsid w:val="23B76264"/>
    <w:rsid w:val="24D13F4E"/>
    <w:rsid w:val="28EA35B9"/>
    <w:rsid w:val="29B33668"/>
    <w:rsid w:val="3071413F"/>
    <w:rsid w:val="374D1160"/>
    <w:rsid w:val="42E34584"/>
    <w:rsid w:val="433E194A"/>
    <w:rsid w:val="47BA63C2"/>
    <w:rsid w:val="569F23F4"/>
    <w:rsid w:val="58CF783A"/>
    <w:rsid w:val="59A215DB"/>
    <w:rsid w:val="5DE80868"/>
    <w:rsid w:val="62D20299"/>
    <w:rsid w:val="633769E1"/>
    <w:rsid w:val="6452533B"/>
    <w:rsid w:val="695F0D8D"/>
    <w:rsid w:val="6C2812E5"/>
    <w:rsid w:val="6CB17DF5"/>
    <w:rsid w:val="6E0C6BAB"/>
    <w:rsid w:val="7021667F"/>
    <w:rsid w:val="741018E1"/>
    <w:rsid w:val="773D1136"/>
    <w:rsid w:val="79BE0F4A"/>
    <w:rsid w:val="7AEA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List Paragraph"/>
    <w:basedOn w:val="1"/>
    <w:unhideWhenUsed/>
    <w:uiPriority w:val="99"/>
    <w:pPr>
      <w:ind w:firstLine="420" w:firstLineChars="200"/>
    </w:p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0">
    <w:name w:val="页脚 Char"/>
    <w:basedOn w:val="8"/>
    <w:link w:val="4"/>
    <w:qFormat/>
    <w:uiPriority w:val="99"/>
    <w:rPr>
      <w:kern w:val="2"/>
      <w:sz w:val="18"/>
      <w:szCs w:val="24"/>
    </w:rPr>
  </w:style>
  <w:style w:type="character" w:customStyle="1" w:styleId="11">
    <w:name w:val="批注框文本 Char"/>
    <w:basedOn w:val="8"/>
    <w:link w:val="3"/>
    <w:qFormat/>
    <w:uiPriority w:val="0"/>
    <w:rPr>
      <w:kern w:val="2"/>
      <w:sz w:val="18"/>
      <w:szCs w:val="18"/>
    </w:rPr>
  </w:style>
  <w:style w:type="character" w:customStyle="1" w:styleId="12">
    <w:name w:val="页眉 Char"/>
    <w:basedOn w:val="8"/>
    <w:link w:val="5"/>
    <w:qFormat/>
    <w:uiPriority w:val="99"/>
    <w:rPr>
      <w:kern w:val="2"/>
      <w:sz w:val="18"/>
      <w:szCs w:val="24"/>
    </w:rPr>
  </w:style>
  <w:style w:type="paragraph" w:customStyle="1" w:styleId="1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6C71-BA15-4899-9545-087B42B9FAFB}">
  <ds:schemaRefs/>
</ds:datastoreItem>
</file>

<file path=docProps/app.xml><?xml version="1.0" encoding="utf-8"?>
<Properties xmlns="http://schemas.openxmlformats.org/officeDocument/2006/extended-properties" xmlns:vt="http://schemas.openxmlformats.org/officeDocument/2006/docPropsVTypes">
  <Template>Normal</Template>
  <Pages>4</Pages>
  <Words>1630</Words>
  <Characters>1681</Characters>
  <Lines>7</Lines>
  <Paragraphs>9</Paragraphs>
  <TotalTime>7</TotalTime>
  <ScaleCrop>false</ScaleCrop>
  <LinksUpToDate>false</LinksUpToDate>
  <CharactersWithSpaces>1715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2022-03-16T01:57:00Z</dcterms:created>
  <dc:creator>采购部</dc:creator>
  <cp:lastModifiedBy>WPS_1474984621</cp:lastModifiedBy>
  <cp:lastPrinted>2022-04-21T09:02:00Z</cp:lastPrinted>
  <dcterms:modified xsi:type="dcterms:W3CDTF">2022-07-13T09:26:06Z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BD8B02E67ABD4F1CB75238145059B458</vt:lpwstr>
  </property>
</Properties>
</file>