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表1</w:t>
      </w:r>
    </w:p>
    <w:p>
      <w:pPr>
        <w:jc w:val="center"/>
        <w:rPr>
          <w:rFonts w:hint="eastAsia" w:ascii="黑体" w:hAnsi="黑体" w:eastAsia="黑体"/>
          <w:b/>
          <w:color w:val="000000" w:themeColor="text1"/>
          <w:kern w:val="28"/>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采购需求书</w:t>
      </w:r>
    </w:p>
    <w:p>
      <w:pPr>
        <w:jc w:val="center"/>
        <w:rPr>
          <w:rFonts w:ascii="黑体" w:hAnsi="黑体" w:eastAsia="黑体"/>
          <w:b/>
          <w:color w:val="000000" w:themeColor="text1"/>
          <w:kern w:val="28"/>
          <w:szCs w:val="21"/>
          <w14:textFill>
            <w14:solidFill>
              <w14:schemeClr w14:val="tx1"/>
            </w14:solidFill>
          </w14:textFill>
        </w:rPr>
      </w:pPr>
    </w:p>
    <w:tbl>
      <w:tblPr>
        <w:tblStyle w:val="12"/>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8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申请科室</w:t>
            </w:r>
          </w:p>
        </w:tc>
        <w:tc>
          <w:tcPr>
            <w:tcW w:w="8390"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后勤保障部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项目名称</w:t>
            </w:r>
          </w:p>
        </w:tc>
        <w:tc>
          <w:tcPr>
            <w:tcW w:w="8390"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eastAsia="宋体"/>
                <w:b/>
                <w:sz w:val="28"/>
                <w:szCs w:val="28"/>
                <w:lang w:val="en-US" w:eastAsia="zh-CN"/>
              </w:rPr>
              <w:t>综合楼门诊中庭处加装自动喷水灭火系统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预算金额</w:t>
            </w:r>
          </w:p>
        </w:tc>
        <w:tc>
          <w:tcPr>
            <w:tcW w:w="8390"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Theme="minorEastAsia" w:hAnsiTheme="minorEastAsia"/>
                <w:color w:val="000000" w:themeColor="text1"/>
                <w:sz w:val="24"/>
                <w:lang w:val="en-US"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40000</w:t>
            </w:r>
            <w:r>
              <w:rPr>
                <w:rFonts w:hint="eastAsia" w:ascii="宋体" w:hAnsi="宋体"/>
                <w:color w:val="000000" w:themeColor="text1"/>
                <w:sz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数量</w:t>
            </w:r>
          </w:p>
        </w:tc>
        <w:tc>
          <w:tcPr>
            <w:tcW w:w="8390" w:type="dxa"/>
            <w:vAlign w:val="center"/>
          </w:tcPr>
          <w:p>
            <w:pPr>
              <w:spacing w:line="440" w:lineRule="exact"/>
              <w:jc w:val="center"/>
              <w:rPr>
                <w:rFonts w:hint="default" w:ascii="宋体" w:hAnsi="宋体"/>
                <w:color w:val="000000" w:themeColor="text1"/>
                <w:sz w:val="24"/>
                <w:lang w:val="en-US"/>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2套自动喷水装置、</w:t>
            </w: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套控制主机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9" w:hRule="atLeast"/>
          <w:jc w:val="center"/>
        </w:trPr>
        <w:tc>
          <w:tcPr>
            <w:tcW w:w="1374" w:type="dxa"/>
            <w:vAlign w:val="center"/>
          </w:tcPr>
          <w:p>
            <w:pPr>
              <w:spacing w:line="440" w:lineRule="exact"/>
              <w:jc w:val="center"/>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采购要求</w:t>
            </w:r>
          </w:p>
        </w:tc>
        <w:tc>
          <w:tcPr>
            <w:tcW w:w="8390" w:type="dxa"/>
          </w:tcPr>
          <w:p>
            <w:pPr>
              <w:autoSpaceDE w:val="0"/>
              <w:autoSpaceDN w:val="0"/>
              <w:spacing w:line="360" w:lineRule="auto"/>
              <w:rPr>
                <w:rFonts w:ascii="宋体" w:hAnsi="宋体"/>
                <w:b/>
                <w:szCs w:val="21"/>
                <w:highlight w:val="none"/>
              </w:rPr>
            </w:pPr>
            <w:r>
              <w:rPr>
                <w:rFonts w:hint="eastAsia" w:ascii="宋体" w:hAnsi="宋体"/>
                <w:b/>
                <w:szCs w:val="21"/>
                <w:highlight w:val="none"/>
              </w:rPr>
              <w:t>一、响应供应商资格条件：</w:t>
            </w:r>
          </w:p>
          <w:p>
            <w:pPr>
              <w:pStyle w:val="2"/>
              <w:numPr>
                <w:ilvl w:val="0"/>
                <w:numId w:val="0"/>
              </w:numPr>
              <w:spacing w:line="319" w:lineRule="auto"/>
              <w:ind w:right="898" w:rightChars="0"/>
              <w:rPr>
                <w:rFonts w:hint="eastAsia" w:ascii="宋体" w:hAnsi="宋体" w:eastAsiaTheme="minorEastAsia" w:cstheme="minorBidi"/>
                <w:b w:val="0"/>
                <w:bCs w:val="0"/>
                <w:kern w:val="2"/>
                <w:sz w:val="21"/>
                <w:szCs w:val="21"/>
                <w:highlight w:val="none"/>
                <w:lang w:val="en-US" w:eastAsia="zh-CN" w:bidi="ar-SA"/>
              </w:rPr>
            </w:pPr>
            <w:r>
              <w:rPr>
                <w:rFonts w:hint="eastAsia" w:eastAsiaTheme="minorEastAsia" w:cstheme="minorBidi"/>
                <w:b w:val="0"/>
                <w:bCs w:val="0"/>
                <w:kern w:val="2"/>
                <w:sz w:val="21"/>
                <w:szCs w:val="21"/>
                <w:highlight w:val="none"/>
                <w:lang w:val="en-US" w:eastAsia="zh-CN" w:bidi="ar-SA"/>
              </w:rPr>
              <w:t xml:space="preserve">   </w:t>
            </w:r>
            <w:r>
              <w:rPr>
                <w:rFonts w:hint="eastAsia" w:ascii="宋体" w:hAnsi="宋体"/>
                <w:highlight w:val="none"/>
              </w:rPr>
              <w:t>★</w:t>
            </w:r>
            <w:r>
              <w:rPr>
                <w:rFonts w:hint="eastAsia" w:ascii="宋体" w:hAnsi="宋体" w:eastAsiaTheme="minorEastAsia" w:cstheme="minorBidi"/>
                <w:b w:val="0"/>
                <w:bCs w:val="0"/>
                <w:kern w:val="2"/>
                <w:sz w:val="21"/>
                <w:szCs w:val="21"/>
                <w:highlight w:val="none"/>
                <w:lang w:val="en-US" w:eastAsia="zh-CN" w:bidi="ar-SA"/>
              </w:rPr>
              <w:t>响应供应商须具有消防设施工程专业承包二级资质（或以上）。</w:t>
            </w:r>
          </w:p>
          <w:p>
            <w:pPr>
              <w:autoSpaceDE w:val="0"/>
              <w:autoSpaceDN w:val="0"/>
              <w:spacing w:line="360" w:lineRule="auto"/>
              <w:rPr>
                <w:rFonts w:ascii="宋体" w:hAnsi="Courier New" w:cs="Courier New" w:eastAsiaTheme="minorEastAsia"/>
                <w:b w:val="0"/>
                <w:bCs w:val="0"/>
                <w:kern w:val="0"/>
                <w:sz w:val="20"/>
                <w:szCs w:val="21"/>
                <w:highlight w:val="none"/>
                <w:lang w:val="en-US" w:eastAsia="zh-CN" w:bidi="ar-SA"/>
              </w:rPr>
            </w:pPr>
            <w:r>
              <w:rPr>
                <w:rFonts w:hint="eastAsia" w:ascii="宋体" w:hAnsi="宋体"/>
                <w:b/>
                <w:szCs w:val="21"/>
                <w:highlight w:val="none"/>
                <w:lang w:val="en-US" w:eastAsia="zh-CN"/>
              </w:rPr>
              <w:t>二、</w:t>
            </w:r>
            <w:r>
              <w:rPr>
                <w:rFonts w:hint="eastAsia" w:ascii="宋体" w:hAnsi="宋体"/>
                <w:b/>
                <w:szCs w:val="21"/>
                <w:highlight w:val="none"/>
              </w:rPr>
              <w:t>采购清单</w:t>
            </w:r>
          </w:p>
          <w:p>
            <w:pPr>
              <w:pStyle w:val="2"/>
              <w:numPr>
                <w:ilvl w:val="0"/>
                <w:numId w:val="0"/>
              </w:numPr>
              <w:spacing w:line="319" w:lineRule="auto"/>
              <w:ind w:right="898" w:rightChars="0" w:firstLine="241" w:firstLineChars="100"/>
              <w:rPr>
                <w:rFonts w:hint="default"/>
                <w:highlight w:val="none"/>
                <w:lang w:val="en-US" w:eastAsia="zh-CN"/>
              </w:rPr>
            </w:pPr>
            <w:r>
              <w:rPr>
                <w:rFonts w:hint="eastAsia" w:ascii="宋体" w:hAnsi="宋体"/>
                <w:highlight w:val="none"/>
              </w:rPr>
              <w:t>★</w:t>
            </w:r>
            <w:r>
              <w:rPr>
                <w:rFonts w:hint="eastAsia" w:eastAsiaTheme="minorEastAsia" w:cstheme="minorBidi"/>
                <w:b w:val="0"/>
                <w:bCs w:val="0"/>
                <w:kern w:val="2"/>
                <w:sz w:val="21"/>
                <w:szCs w:val="21"/>
                <w:highlight w:val="none"/>
                <w:lang w:val="en-US" w:eastAsia="zh-CN" w:bidi="ar-SA"/>
              </w:rPr>
              <w:t>1.</w:t>
            </w:r>
            <w:r>
              <w:rPr>
                <w:rFonts w:hint="eastAsia" w:ascii="宋体" w:hAnsi="宋体" w:eastAsiaTheme="minorEastAsia" w:cstheme="minorBidi"/>
                <w:b w:val="0"/>
                <w:bCs w:val="0"/>
                <w:kern w:val="2"/>
                <w:sz w:val="21"/>
                <w:szCs w:val="21"/>
                <w:highlight w:val="none"/>
                <w:lang w:val="en-US" w:eastAsia="zh-CN" w:bidi="ar-SA"/>
              </w:rPr>
              <w:t>功能</w:t>
            </w:r>
            <w:r>
              <w:rPr>
                <w:rFonts w:hint="eastAsia" w:eastAsiaTheme="minorEastAsia" w:cstheme="minorBidi"/>
                <w:b w:val="0"/>
                <w:bCs w:val="0"/>
                <w:kern w:val="2"/>
                <w:sz w:val="21"/>
                <w:szCs w:val="21"/>
                <w:highlight w:val="none"/>
                <w:lang w:val="en-US" w:eastAsia="zh-CN" w:bidi="ar-SA"/>
              </w:rPr>
              <w:t>要求</w:t>
            </w:r>
            <w:r>
              <w:rPr>
                <w:rFonts w:hint="eastAsia" w:ascii="宋体" w:hAnsi="宋体" w:eastAsiaTheme="minorEastAsia" w:cstheme="minorBidi"/>
                <w:b w:val="0"/>
                <w:bCs w:val="0"/>
                <w:kern w:val="2"/>
                <w:sz w:val="21"/>
                <w:szCs w:val="21"/>
                <w:highlight w:val="none"/>
                <w:lang w:val="en-US" w:eastAsia="zh-CN" w:bidi="ar-SA"/>
              </w:rPr>
              <w:t>：具有主动探测火源，自动定位，对火点实施定点射水灭火，火灭后自动复位，如有复燃，重新启动的特点。</w:t>
            </w:r>
          </w:p>
          <w:tbl>
            <w:tblPr>
              <w:tblStyle w:val="11"/>
              <w:tblpPr w:leftFromText="180" w:rightFromText="180" w:vertAnchor="text" w:horzAnchor="page" w:tblpX="308" w:tblpY="561"/>
              <w:tblOverlap w:val="never"/>
              <w:tblW w:w="74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82"/>
              <w:gridCol w:w="47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2682" w:type="dxa"/>
                  <w:vAlign w:val="top"/>
                </w:tcPr>
                <w:p>
                  <w:pPr>
                    <w:pStyle w:val="22"/>
                    <w:jc w:val="center"/>
                    <w:rPr>
                      <w:b/>
                      <w:sz w:val="21"/>
                      <w:highlight w:val="none"/>
                    </w:rPr>
                  </w:pPr>
                  <w:r>
                    <w:rPr>
                      <w:b/>
                      <w:w w:val="95"/>
                      <w:sz w:val="21"/>
                      <w:highlight w:val="none"/>
                    </w:rPr>
                    <w:t>灭火装置型号</w:t>
                  </w:r>
                </w:p>
              </w:tc>
              <w:tc>
                <w:tcPr>
                  <w:tcW w:w="4740" w:type="dxa"/>
                  <w:vAlign w:val="top"/>
                </w:tcPr>
                <w:p>
                  <w:pPr>
                    <w:pStyle w:val="22"/>
                    <w:spacing w:before="131"/>
                    <w:ind w:left="98"/>
                    <w:jc w:val="center"/>
                    <w:rPr>
                      <w:b/>
                      <w:sz w:val="21"/>
                      <w:highlight w:val="none"/>
                    </w:rPr>
                  </w:pPr>
                  <w:r>
                    <w:rPr>
                      <w:b/>
                      <w:bCs/>
                      <w:color w:val="333333"/>
                      <w:spacing w:val="-6"/>
                      <w:szCs w:val="21"/>
                    </w:rPr>
                    <w:t>ZDMS0.6/</w:t>
                  </w:r>
                  <w:r>
                    <w:rPr>
                      <w:rFonts w:hint="eastAsia"/>
                      <w:b/>
                      <w:bCs/>
                      <w:color w:val="333333"/>
                      <w:spacing w:val="-6"/>
                      <w:szCs w:val="21"/>
                      <w:lang w:val="en-US" w:eastAsia="zh-CN"/>
                    </w:rPr>
                    <w:t>5</w:t>
                  </w:r>
                  <w:r>
                    <w:rPr>
                      <w:b/>
                      <w:bCs/>
                      <w:color w:val="333333"/>
                      <w:spacing w:val="-6"/>
                      <w:szCs w:val="21"/>
                    </w:rPr>
                    <w:t>S-LA3</w:t>
                  </w:r>
                  <w:r>
                    <w:rPr>
                      <w:rFonts w:hint="eastAsia"/>
                      <w:b/>
                      <w:bCs/>
                      <w:color w:val="333333"/>
                      <w:spacing w:val="-6"/>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2682" w:type="dxa"/>
                  <w:vAlign w:val="top"/>
                </w:tcPr>
                <w:p>
                  <w:pPr>
                    <w:pStyle w:val="22"/>
                    <w:spacing w:before="144"/>
                    <w:ind w:left="109"/>
                    <w:jc w:val="center"/>
                    <w:rPr>
                      <w:b/>
                      <w:sz w:val="21"/>
                      <w:highlight w:val="none"/>
                    </w:rPr>
                  </w:pPr>
                  <w:r>
                    <w:rPr>
                      <w:b/>
                      <w:sz w:val="21"/>
                      <w:highlight w:val="none"/>
                    </w:rPr>
                    <w:t>最大保护半径</w:t>
                  </w:r>
                </w:p>
              </w:tc>
              <w:tc>
                <w:tcPr>
                  <w:tcW w:w="4740" w:type="dxa"/>
                  <w:vAlign w:val="top"/>
                </w:tcPr>
                <w:p>
                  <w:pPr>
                    <w:pStyle w:val="22"/>
                    <w:spacing w:before="144"/>
                    <w:ind w:left="767"/>
                    <w:jc w:val="center"/>
                    <w:rPr>
                      <w:b/>
                      <w:sz w:val="21"/>
                      <w:highlight w:val="none"/>
                    </w:rPr>
                  </w:pPr>
                  <w:r>
                    <w:rPr>
                      <w:b/>
                      <w:sz w:val="21"/>
                      <w:highlight w:val="none"/>
                    </w:rPr>
                    <w:t>3</w:t>
                  </w:r>
                  <w:r>
                    <w:rPr>
                      <w:rFonts w:hint="eastAsia"/>
                      <w:b/>
                      <w:sz w:val="21"/>
                      <w:highlight w:val="none"/>
                      <w:lang w:val="en-US" w:eastAsia="zh-CN"/>
                    </w:rPr>
                    <w:t>0</w:t>
                  </w:r>
                  <w:r>
                    <w:rPr>
                      <w:b/>
                      <w:sz w:val="21"/>
                      <w:highlight w:val="none"/>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2682" w:type="dxa"/>
                  <w:vAlign w:val="top"/>
                </w:tcPr>
                <w:p>
                  <w:pPr>
                    <w:pStyle w:val="22"/>
                    <w:spacing w:before="144"/>
                    <w:ind w:left="133"/>
                    <w:jc w:val="center"/>
                    <w:rPr>
                      <w:b/>
                      <w:sz w:val="21"/>
                      <w:highlight w:val="none"/>
                    </w:rPr>
                  </w:pPr>
                  <w:r>
                    <w:rPr>
                      <w:b/>
                      <w:sz w:val="21"/>
                      <w:highlight w:val="none"/>
                    </w:rPr>
                    <w:t>额定流量</w:t>
                  </w:r>
                </w:p>
              </w:tc>
              <w:tc>
                <w:tcPr>
                  <w:tcW w:w="4740" w:type="dxa"/>
                  <w:vAlign w:val="top"/>
                </w:tcPr>
                <w:p>
                  <w:pPr>
                    <w:pStyle w:val="22"/>
                    <w:spacing w:before="144"/>
                    <w:ind w:left="662"/>
                    <w:jc w:val="center"/>
                    <w:rPr>
                      <w:b/>
                      <w:sz w:val="21"/>
                      <w:highlight w:val="none"/>
                    </w:rPr>
                  </w:pPr>
                  <w:r>
                    <w:rPr>
                      <w:rFonts w:hint="eastAsia"/>
                      <w:b/>
                      <w:sz w:val="21"/>
                      <w:highlight w:val="none"/>
                      <w:lang w:val="en-US" w:eastAsia="zh-CN"/>
                    </w:rPr>
                    <w:t>5</w:t>
                  </w:r>
                  <w:r>
                    <w:rPr>
                      <w:b/>
                      <w:sz w:val="21"/>
                      <w:highlight w:val="none"/>
                    </w:rPr>
                    <w:t>L/s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2682" w:type="dxa"/>
                  <w:vAlign w:val="top"/>
                </w:tcPr>
                <w:p>
                  <w:pPr>
                    <w:pStyle w:val="22"/>
                    <w:spacing w:before="143"/>
                    <w:ind w:left="171"/>
                    <w:jc w:val="center"/>
                    <w:rPr>
                      <w:b/>
                      <w:sz w:val="21"/>
                      <w:highlight w:val="none"/>
                    </w:rPr>
                  </w:pPr>
                  <w:r>
                    <w:rPr>
                      <w:b/>
                      <w:sz w:val="21"/>
                      <w:highlight w:val="none"/>
                    </w:rPr>
                    <w:t>重量</w:t>
                  </w:r>
                </w:p>
              </w:tc>
              <w:tc>
                <w:tcPr>
                  <w:tcW w:w="4740" w:type="dxa"/>
                  <w:vAlign w:val="top"/>
                </w:tcPr>
                <w:p>
                  <w:pPr>
                    <w:pStyle w:val="22"/>
                    <w:spacing w:before="143"/>
                    <w:ind w:left="715"/>
                    <w:jc w:val="center"/>
                    <w:rPr>
                      <w:b/>
                      <w:sz w:val="21"/>
                      <w:highlight w:val="none"/>
                    </w:rPr>
                  </w:pPr>
                  <w:r>
                    <w:rPr>
                      <w:b/>
                      <w:sz w:val="21"/>
                      <w:highlight w:val="none"/>
                    </w:rPr>
                    <w:t>13Kg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2682" w:type="dxa"/>
                  <w:vAlign w:val="top"/>
                </w:tcPr>
                <w:p>
                  <w:pPr>
                    <w:pStyle w:val="22"/>
                    <w:spacing w:before="143"/>
                    <w:ind w:left="133"/>
                    <w:jc w:val="center"/>
                    <w:rPr>
                      <w:b/>
                      <w:sz w:val="21"/>
                      <w:highlight w:val="none"/>
                    </w:rPr>
                  </w:pPr>
                  <w:r>
                    <w:rPr>
                      <w:b/>
                      <w:sz w:val="21"/>
                      <w:highlight w:val="none"/>
                    </w:rPr>
                    <w:t>外形尺寸</w:t>
                  </w:r>
                </w:p>
              </w:tc>
              <w:tc>
                <w:tcPr>
                  <w:tcW w:w="4740" w:type="dxa"/>
                  <w:vAlign w:val="top"/>
                </w:tcPr>
                <w:p>
                  <w:pPr>
                    <w:pStyle w:val="22"/>
                    <w:spacing w:before="143"/>
                    <w:ind w:left="139"/>
                    <w:jc w:val="center"/>
                    <w:rPr>
                      <w:b/>
                      <w:sz w:val="21"/>
                      <w:highlight w:val="none"/>
                    </w:rPr>
                  </w:pPr>
                  <w:r>
                    <w:rPr>
                      <w:b/>
                      <w:sz w:val="21"/>
                      <w:highlight w:val="none"/>
                    </w:rPr>
                    <w:t>30×38×50cm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jc w:val="center"/>
              </w:trPr>
              <w:tc>
                <w:tcPr>
                  <w:tcW w:w="2682" w:type="dxa"/>
                  <w:vAlign w:val="top"/>
                </w:tcPr>
                <w:p>
                  <w:pPr>
                    <w:pStyle w:val="22"/>
                    <w:spacing w:before="145"/>
                    <w:ind w:left="109"/>
                    <w:jc w:val="center"/>
                    <w:rPr>
                      <w:b/>
                      <w:sz w:val="21"/>
                      <w:highlight w:val="none"/>
                    </w:rPr>
                  </w:pPr>
                  <w:r>
                    <w:rPr>
                      <w:b/>
                      <w:sz w:val="21"/>
                      <w:highlight w:val="none"/>
                    </w:rPr>
                    <w:t>额定工作压力</w:t>
                  </w:r>
                </w:p>
              </w:tc>
              <w:tc>
                <w:tcPr>
                  <w:tcW w:w="4740" w:type="dxa"/>
                  <w:vAlign w:val="top"/>
                </w:tcPr>
                <w:p>
                  <w:pPr>
                    <w:pStyle w:val="22"/>
                    <w:spacing w:before="145"/>
                    <w:jc w:val="center"/>
                    <w:rPr>
                      <w:b/>
                      <w:sz w:val="21"/>
                      <w:highlight w:val="none"/>
                    </w:rPr>
                  </w:pPr>
                  <w:r>
                    <w:rPr>
                      <w:b/>
                      <w:sz w:val="21"/>
                      <w:highlight w:val="none"/>
                    </w:rPr>
                    <w:t>0.</w:t>
                  </w:r>
                  <w:r>
                    <w:rPr>
                      <w:rFonts w:hint="eastAsia"/>
                      <w:b/>
                      <w:sz w:val="21"/>
                      <w:highlight w:val="none"/>
                      <w:lang w:val="en-US" w:eastAsia="zh-CN"/>
                    </w:rPr>
                    <w:t>6</w:t>
                  </w:r>
                  <w:r>
                    <w:rPr>
                      <w:b/>
                      <w:sz w:val="21"/>
                      <w:highlight w:val="none"/>
                    </w:rPr>
                    <w:t>MPa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jc w:val="center"/>
              </w:trPr>
              <w:tc>
                <w:tcPr>
                  <w:tcW w:w="2682" w:type="dxa"/>
                  <w:vAlign w:val="top"/>
                </w:tcPr>
                <w:p>
                  <w:pPr>
                    <w:pStyle w:val="22"/>
                    <w:spacing w:before="147"/>
                    <w:ind w:left="109"/>
                    <w:jc w:val="center"/>
                    <w:rPr>
                      <w:b/>
                      <w:sz w:val="21"/>
                      <w:highlight w:val="none"/>
                    </w:rPr>
                  </w:pPr>
                  <w:r>
                    <w:rPr>
                      <w:b/>
                      <w:sz w:val="21"/>
                      <w:highlight w:val="none"/>
                    </w:rPr>
                    <w:t>最大工作压力</w:t>
                  </w:r>
                </w:p>
              </w:tc>
              <w:tc>
                <w:tcPr>
                  <w:tcW w:w="4740" w:type="dxa"/>
                  <w:tcBorders>
                    <w:right w:val="single" w:color="000000" w:sz="4" w:space="0"/>
                  </w:tcBorders>
                  <w:vAlign w:val="top"/>
                </w:tcPr>
                <w:p>
                  <w:pPr>
                    <w:pStyle w:val="22"/>
                    <w:spacing w:before="147"/>
                    <w:jc w:val="center"/>
                    <w:rPr>
                      <w:b/>
                      <w:sz w:val="21"/>
                      <w:highlight w:val="none"/>
                    </w:rPr>
                  </w:pPr>
                  <w:r>
                    <w:rPr>
                      <w:rFonts w:hint="eastAsia"/>
                      <w:b/>
                      <w:sz w:val="21"/>
                      <w:highlight w:val="none"/>
                      <w:lang w:val="en-US" w:eastAsia="zh-CN"/>
                    </w:rPr>
                    <w:t>1</w:t>
                  </w:r>
                  <w:r>
                    <w:rPr>
                      <w:b/>
                      <w:sz w:val="21"/>
                      <w:highlight w:val="none"/>
                    </w:rPr>
                    <w:t>.</w:t>
                  </w:r>
                  <w:r>
                    <w:rPr>
                      <w:rFonts w:hint="eastAsia"/>
                      <w:b/>
                      <w:sz w:val="21"/>
                      <w:highlight w:val="none"/>
                      <w:lang w:val="en-US" w:eastAsia="zh-CN"/>
                    </w:rPr>
                    <w:t>0</w:t>
                  </w:r>
                  <w:r>
                    <w:rPr>
                      <w:b/>
                      <w:sz w:val="21"/>
                      <w:highlight w:val="none"/>
                    </w:rPr>
                    <w:t>MPa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2682" w:type="dxa"/>
                  <w:vAlign w:val="top"/>
                </w:tcPr>
                <w:p>
                  <w:pPr>
                    <w:pStyle w:val="22"/>
                    <w:spacing w:before="144"/>
                    <w:ind w:left="133"/>
                    <w:jc w:val="center"/>
                    <w:rPr>
                      <w:b/>
                      <w:sz w:val="21"/>
                      <w:highlight w:val="none"/>
                    </w:rPr>
                  </w:pPr>
                  <w:r>
                    <w:rPr>
                      <w:b/>
                      <w:sz w:val="21"/>
                      <w:highlight w:val="none"/>
                    </w:rPr>
                    <w:t>安装高度</w:t>
                  </w:r>
                </w:p>
              </w:tc>
              <w:tc>
                <w:tcPr>
                  <w:tcW w:w="4740" w:type="dxa"/>
                  <w:tcBorders>
                    <w:right w:val="single" w:color="000000" w:sz="4" w:space="0"/>
                  </w:tcBorders>
                  <w:vAlign w:val="top"/>
                </w:tcPr>
                <w:p>
                  <w:pPr>
                    <w:pStyle w:val="22"/>
                    <w:spacing w:before="144"/>
                    <w:jc w:val="center"/>
                    <w:rPr>
                      <w:b/>
                      <w:sz w:val="21"/>
                      <w:highlight w:val="none"/>
                    </w:rPr>
                  </w:pPr>
                  <w:r>
                    <w:rPr>
                      <w:b/>
                      <w:sz w:val="21"/>
                      <w:highlight w:val="none"/>
                    </w:rPr>
                    <w:t>6～</w:t>
                  </w:r>
                  <w:r>
                    <w:rPr>
                      <w:rFonts w:hint="eastAsia"/>
                      <w:b/>
                      <w:sz w:val="21"/>
                      <w:highlight w:val="none"/>
                      <w:lang w:val="en-US" w:eastAsia="zh-CN"/>
                    </w:rPr>
                    <w:t>15</w:t>
                  </w:r>
                  <w:r>
                    <w:rPr>
                      <w:b/>
                      <w:sz w:val="21"/>
                      <w:highlight w:val="none"/>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2682" w:type="dxa"/>
                  <w:tcBorders>
                    <w:bottom w:val="single" w:color="000000" w:sz="4" w:space="0"/>
                  </w:tcBorders>
                  <w:vAlign w:val="top"/>
                </w:tcPr>
                <w:p>
                  <w:pPr>
                    <w:pStyle w:val="22"/>
                    <w:spacing w:before="144"/>
                    <w:ind w:left="133"/>
                    <w:jc w:val="center"/>
                    <w:rPr>
                      <w:b/>
                      <w:sz w:val="21"/>
                      <w:highlight w:val="none"/>
                    </w:rPr>
                  </w:pPr>
                  <w:r>
                    <w:rPr>
                      <w:b/>
                      <w:sz w:val="21"/>
                      <w:highlight w:val="none"/>
                    </w:rPr>
                    <w:t>接口直径</w:t>
                  </w:r>
                </w:p>
              </w:tc>
              <w:tc>
                <w:tcPr>
                  <w:tcW w:w="4740" w:type="dxa"/>
                  <w:tcBorders>
                    <w:bottom w:val="single" w:color="000000" w:sz="4" w:space="0"/>
                  </w:tcBorders>
                  <w:vAlign w:val="top"/>
                </w:tcPr>
                <w:p>
                  <w:pPr>
                    <w:pStyle w:val="22"/>
                    <w:spacing w:before="144"/>
                    <w:jc w:val="center"/>
                    <w:rPr>
                      <w:rFonts w:hint="default" w:eastAsia="宋体"/>
                      <w:b/>
                      <w:sz w:val="21"/>
                      <w:highlight w:val="none"/>
                      <w:lang w:val="en-US" w:eastAsia="zh-CN"/>
                    </w:rPr>
                  </w:pPr>
                  <w:r>
                    <w:rPr>
                      <w:b/>
                      <w:sz w:val="21"/>
                      <w:highlight w:val="none"/>
                    </w:rPr>
                    <w:t>DN</w:t>
                  </w:r>
                  <w:r>
                    <w:rPr>
                      <w:rFonts w:hint="eastAsia"/>
                      <w:b/>
                      <w:sz w:val="21"/>
                      <w:highlight w:val="none"/>
                      <w:lang w:val="en-US" w:eastAsia="zh-CN"/>
                    </w:rPr>
                    <w:t>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jc w:val="center"/>
              </w:trPr>
              <w:tc>
                <w:tcPr>
                  <w:tcW w:w="2682" w:type="dxa"/>
                  <w:tcBorders>
                    <w:top w:val="single" w:color="000000" w:sz="4" w:space="0"/>
                    <w:left w:val="single" w:color="000000" w:sz="4" w:space="0"/>
                    <w:bottom w:val="single" w:color="000000" w:sz="4" w:space="0"/>
                  </w:tcBorders>
                  <w:vAlign w:val="top"/>
                </w:tcPr>
                <w:p>
                  <w:pPr>
                    <w:pStyle w:val="22"/>
                    <w:spacing w:before="144"/>
                    <w:ind w:left="157"/>
                    <w:jc w:val="center"/>
                    <w:rPr>
                      <w:b/>
                      <w:sz w:val="21"/>
                      <w:highlight w:val="none"/>
                    </w:rPr>
                  </w:pPr>
                  <w:r>
                    <w:rPr>
                      <w:b/>
                      <w:sz w:val="21"/>
                      <w:highlight w:val="none"/>
                    </w:rPr>
                    <w:t>电压/功耗</w:t>
                  </w:r>
                </w:p>
              </w:tc>
              <w:tc>
                <w:tcPr>
                  <w:tcW w:w="4740" w:type="dxa"/>
                  <w:tcBorders>
                    <w:top w:val="single" w:color="000000" w:sz="4" w:space="0"/>
                    <w:bottom w:val="single" w:color="000000" w:sz="4" w:space="0"/>
                  </w:tcBorders>
                  <w:vAlign w:val="top"/>
                </w:tcPr>
                <w:p>
                  <w:pPr>
                    <w:pStyle w:val="22"/>
                    <w:spacing w:before="144"/>
                    <w:ind w:left="280"/>
                    <w:jc w:val="center"/>
                    <w:rPr>
                      <w:b/>
                      <w:sz w:val="21"/>
                      <w:highlight w:val="none"/>
                    </w:rPr>
                  </w:pPr>
                  <w:r>
                    <w:rPr>
                      <w:b/>
                      <w:sz w:val="21"/>
                      <w:highlight w:val="none"/>
                    </w:rPr>
                    <w:t>DC24V/监视：</w:t>
                  </w:r>
                  <w:r>
                    <w:rPr>
                      <w:rFonts w:hint="eastAsia"/>
                      <w:b/>
                      <w:sz w:val="21"/>
                      <w:highlight w:val="none"/>
                      <w:lang w:val="en-US" w:eastAsia="zh-CN"/>
                    </w:rPr>
                    <w:t>3</w:t>
                  </w:r>
                  <w:r>
                    <w:rPr>
                      <w:b/>
                      <w:sz w:val="21"/>
                      <w:highlight w:val="none"/>
                    </w:rPr>
                    <w:t>W，扫描：40W</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jc w:val="center"/>
              </w:trPr>
              <w:tc>
                <w:tcPr>
                  <w:tcW w:w="2682" w:type="dxa"/>
                  <w:tcBorders>
                    <w:top w:val="single" w:color="000000" w:sz="4" w:space="0"/>
                  </w:tcBorders>
                  <w:vAlign w:val="top"/>
                </w:tcPr>
                <w:p>
                  <w:pPr>
                    <w:pStyle w:val="22"/>
                    <w:spacing w:before="143"/>
                    <w:ind w:left="109"/>
                    <w:jc w:val="center"/>
                    <w:rPr>
                      <w:b/>
                      <w:sz w:val="21"/>
                      <w:highlight w:val="none"/>
                    </w:rPr>
                  </w:pPr>
                  <w:r>
                    <w:rPr>
                      <w:b/>
                      <w:sz w:val="21"/>
                      <w:highlight w:val="none"/>
                    </w:rPr>
                    <w:t>火灾响应时间</w:t>
                  </w:r>
                </w:p>
              </w:tc>
              <w:tc>
                <w:tcPr>
                  <w:tcW w:w="4740" w:type="dxa"/>
                  <w:tcBorders>
                    <w:top w:val="single" w:color="000000" w:sz="4" w:space="0"/>
                  </w:tcBorders>
                  <w:vAlign w:val="top"/>
                </w:tcPr>
                <w:p>
                  <w:pPr>
                    <w:pStyle w:val="22"/>
                    <w:spacing w:before="143"/>
                    <w:ind w:left="1583"/>
                    <w:jc w:val="center"/>
                    <w:rPr>
                      <w:b/>
                      <w:sz w:val="21"/>
                      <w:highlight w:val="none"/>
                    </w:rPr>
                  </w:pPr>
                  <w:r>
                    <w:rPr>
                      <w:b/>
                      <w:sz w:val="21"/>
                      <w:highlight w:val="none"/>
                    </w:rPr>
                    <w:t>≤30s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jc w:val="center"/>
              </w:trPr>
              <w:tc>
                <w:tcPr>
                  <w:tcW w:w="2682" w:type="dxa"/>
                  <w:vAlign w:val="top"/>
                </w:tcPr>
                <w:p>
                  <w:pPr>
                    <w:pStyle w:val="22"/>
                    <w:spacing w:before="143"/>
                    <w:ind w:left="109"/>
                    <w:jc w:val="center"/>
                    <w:rPr>
                      <w:b/>
                      <w:sz w:val="21"/>
                      <w:highlight w:val="none"/>
                    </w:rPr>
                  </w:pPr>
                  <w:r>
                    <w:rPr>
                      <w:b/>
                      <w:sz w:val="21"/>
                      <w:highlight w:val="none"/>
                    </w:rPr>
                    <w:t>垂直旋转范围</w:t>
                  </w:r>
                </w:p>
              </w:tc>
              <w:tc>
                <w:tcPr>
                  <w:tcW w:w="4740" w:type="dxa"/>
                  <w:vAlign w:val="top"/>
                </w:tcPr>
                <w:p>
                  <w:pPr>
                    <w:pStyle w:val="22"/>
                    <w:spacing w:before="145"/>
                    <w:ind w:left="208"/>
                    <w:jc w:val="center"/>
                    <w:rPr>
                      <w:b/>
                      <w:sz w:val="21"/>
                      <w:highlight w:val="none"/>
                    </w:rPr>
                  </w:pPr>
                  <w:r>
                    <w:rPr>
                      <w:b/>
                      <w:spacing w:val="-24"/>
                      <w:sz w:val="21"/>
                      <w:highlight w:val="none"/>
                    </w:rPr>
                    <w:t xml:space="preserve">仰角 </w:t>
                  </w:r>
                  <w:r>
                    <w:rPr>
                      <w:b/>
                      <w:spacing w:val="-8"/>
                      <w:sz w:val="21"/>
                      <w:highlight w:val="none"/>
                    </w:rPr>
                    <w:t>30</w:t>
                  </w:r>
                  <w:r>
                    <w:rPr>
                      <w:b/>
                      <w:spacing w:val="1"/>
                      <w:sz w:val="21"/>
                      <w:highlight w:val="none"/>
                    </w:rPr>
                    <w:t>°，俯角</w:t>
                  </w:r>
                  <w:r>
                    <w:rPr>
                      <w:rFonts w:ascii="Calibri" w:hAnsi="Calibri" w:eastAsia="Calibri"/>
                      <w:b/>
                      <w:spacing w:val="-7"/>
                      <w:sz w:val="21"/>
                      <w:highlight w:val="none"/>
                    </w:rPr>
                    <w:t>-</w:t>
                  </w:r>
                  <w:r>
                    <w:rPr>
                      <w:b/>
                      <w:spacing w:val="-7"/>
                      <w:sz w:val="21"/>
                      <w:highlight w:val="none"/>
                    </w:rPr>
                    <w:t>90°（</w:t>
                  </w:r>
                  <w:r>
                    <w:rPr>
                      <w:b/>
                      <w:spacing w:val="-13"/>
                      <w:sz w:val="21"/>
                      <w:highlight w:val="none"/>
                    </w:rPr>
                    <w:t>可调</w:t>
                  </w:r>
                  <w:r>
                    <w:rPr>
                      <w:b/>
                      <w:sz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jc w:val="center"/>
              </w:trPr>
              <w:tc>
                <w:tcPr>
                  <w:tcW w:w="2682" w:type="dxa"/>
                  <w:vAlign w:val="top"/>
                </w:tcPr>
                <w:p>
                  <w:pPr>
                    <w:pStyle w:val="22"/>
                    <w:spacing w:before="145"/>
                    <w:ind w:left="109"/>
                    <w:jc w:val="center"/>
                    <w:rPr>
                      <w:b/>
                      <w:sz w:val="21"/>
                      <w:highlight w:val="none"/>
                    </w:rPr>
                  </w:pPr>
                  <w:r>
                    <w:rPr>
                      <w:b/>
                      <w:sz w:val="21"/>
                      <w:highlight w:val="none"/>
                    </w:rPr>
                    <w:t>水平旋转范围</w:t>
                  </w:r>
                </w:p>
              </w:tc>
              <w:tc>
                <w:tcPr>
                  <w:tcW w:w="4740" w:type="dxa"/>
                  <w:vAlign w:val="top"/>
                </w:tcPr>
                <w:p>
                  <w:pPr>
                    <w:pStyle w:val="22"/>
                    <w:spacing w:before="145"/>
                    <w:jc w:val="center"/>
                    <w:rPr>
                      <w:b/>
                      <w:sz w:val="21"/>
                      <w:highlight w:val="none"/>
                    </w:rPr>
                  </w:pPr>
                  <w:r>
                    <w:rPr>
                      <w:b/>
                      <w:sz w:val="21"/>
                      <w:highlight w:val="none"/>
                    </w:rPr>
                    <w:t>0～36</w:t>
                  </w:r>
                  <w:r>
                    <w:rPr>
                      <w:rFonts w:hint="eastAsia"/>
                      <w:b/>
                      <w:sz w:val="21"/>
                      <w:highlight w:val="none"/>
                      <w:lang w:val="en-US" w:eastAsia="zh-CN"/>
                    </w:rPr>
                    <w:t>0</w:t>
                  </w:r>
                  <w:r>
                    <w:rPr>
                      <w:b/>
                      <w:sz w:val="21"/>
                      <w:highlight w:val="none"/>
                    </w:rPr>
                    <w:t>°（可调）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jc w:val="center"/>
              </w:trPr>
              <w:tc>
                <w:tcPr>
                  <w:tcW w:w="2682" w:type="dxa"/>
                  <w:vAlign w:val="top"/>
                </w:tcPr>
                <w:p>
                  <w:pPr>
                    <w:pStyle w:val="22"/>
                    <w:spacing w:before="145"/>
                    <w:ind w:left="133"/>
                    <w:jc w:val="center"/>
                    <w:rPr>
                      <w:b/>
                      <w:sz w:val="21"/>
                      <w:highlight w:val="none"/>
                    </w:rPr>
                  </w:pPr>
                  <w:r>
                    <w:rPr>
                      <w:b/>
                      <w:sz w:val="21"/>
                      <w:highlight w:val="none"/>
                    </w:rPr>
                    <w:t>通讯方式</w:t>
                  </w:r>
                </w:p>
              </w:tc>
              <w:tc>
                <w:tcPr>
                  <w:tcW w:w="4740" w:type="dxa"/>
                  <w:vAlign w:val="top"/>
                </w:tcPr>
                <w:p>
                  <w:pPr>
                    <w:pStyle w:val="22"/>
                    <w:spacing w:before="145"/>
                    <w:jc w:val="center"/>
                    <w:rPr>
                      <w:b/>
                      <w:sz w:val="21"/>
                      <w:highlight w:val="none"/>
                    </w:rPr>
                  </w:pPr>
                  <w:r>
                    <w:rPr>
                      <w:b/>
                      <w:sz w:val="21"/>
                      <w:highlight w:val="none"/>
                    </w:rPr>
                    <w:t>RS485（与现场手动控制箱通讯）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2682" w:type="dxa"/>
                  <w:vAlign w:val="top"/>
                </w:tcPr>
                <w:p>
                  <w:pPr>
                    <w:pStyle w:val="22"/>
                    <w:spacing w:before="144"/>
                    <w:ind w:left="109"/>
                    <w:jc w:val="center"/>
                    <w:rPr>
                      <w:b/>
                      <w:sz w:val="21"/>
                      <w:highlight w:val="none"/>
                    </w:rPr>
                  </w:pPr>
                  <w:r>
                    <w:rPr>
                      <w:b/>
                      <w:sz w:val="21"/>
                      <w:highlight w:val="none"/>
                    </w:rPr>
                    <w:t>工作环境温度</w:t>
                  </w:r>
                </w:p>
              </w:tc>
              <w:tc>
                <w:tcPr>
                  <w:tcW w:w="4740" w:type="dxa"/>
                  <w:tcBorders>
                    <w:right w:val="single" w:color="000000" w:sz="4" w:space="0"/>
                  </w:tcBorders>
                  <w:vAlign w:val="top"/>
                </w:tcPr>
                <w:p>
                  <w:pPr>
                    <w:pStyle w:val="22"/>
                    <w:spacing w:before="144"/>
                    <w:ind w:right="3410"/>
                    <w:jc w:val="center"/>
                    <w:rPr>
                      <w:b/>
                      <w:sz w:val="21"/>
                      <w:highlight w:val="none"/>
                    </w:rPr>
                  </w:pPr>
                  <w:r>
                    <w:rPr>
                      <w:rFonts w:hint="eastAsia"/>
                      <w:b/>
                      <w:sz w:val="21"/>
                      <w:highlight w:val="none"/>
                      <w:lang w:val="en-US" w:eastAsia="zh-CN"/>
                    </w:rPr>
                    <w:t xml:space="preserve">   4</w:t>
                  </w:r>
                  <w:r>
                    <w:rPr>
                      <w:b/>
                      <w:sz w:val="21"/>
                      <w:highlight w:val="none"/>
                    </w:rPr>
                    <w:t>～+55℃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2682" w:type="dxa"/>
                  <w:vAlign w:val="top"/>
                </w:tcPr>
                <w:p>
                  <w:pPr>
                    <w:pStyle w:val="22"/>
                    <w:spacing w:before="144"/>
                    <w:ind w:left="133"/>
                    <w:jc w:val="center"/>
                    <w:rPr>
                      <w:b/>
                      <w:sz w:val="21"/>
                      <w:highlight w:val="none"/>
                    </w:rPr>
                  </w:pPr>
                  <w:r>
                    <w:rPr>
                      <w:b/>
                      <w:sz w:val="21"/>
                      <w:highlight w:val="none"/>
                    </w:rPr>
                    <w:t>喷水方式</w:t>
                  </w:r>
                </w:p>
              </w:tc>
              <w:tc>
                <w:tcPr>
                  <w:tcW w:w="4740" w:type="dxa"/>
                  <w:tcBorders>
                    <w:bottom w:val="single" w:color="000000" w:sz="4" w:space="0"/>
                  </w:tcBorders>
                  <w:vAlign w:val="top"/>
                </w:tcPr>
                <w:p>
                  <w:pPr>
                    <w:pStyle w:val="22"/>
                    <w:jc w:val="center"/>
                    <w:rPr>
                      <w:rFonts w:ascii="Times New Roman"/>
                      <w:sz w:val="20"/>
                      <w:highlight w:val="none"/>
                    </w:rPr>
                  </w:pPr>
                  <w:r>
                    <w:rPr>
                      <w:b/>
                      <w:sz w:val="21"/>
                      <w:highlight w:val="none"/>
                    </w:rPr>
                    <w:t>喷射/直射后往复前后左右摆动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jc w:val="center"/>
              </w:trPr>
              <w:tc>
                <w:tcPr>
                  <w:tcW w:w="2682" w:type="dxa"/>
                  <w:tcBorders>
                    <w:right w:val="single" w:color="000000" w:sz="4" w:space="0"/>
                  </w:tcBorders>
                  <w:vAlign w:val="top"/>
                </w:tcPr>
                <w:p>
                  <w:pPr>
                    <w:pStyle w:val="22"/>
                    <w:spacing w:before="146"/>
                    <w:ind w:left="106"/>
                    <w:jc w:val="center"/>
                    <w:rPr>
                      <w:b/>
                      <w:sz w:val="21"/>
                      <w:highlight w:val="none"/>
                    </w:rPr>
                  </w:pPr>
                  <w:r>
                    <w:rPr>
                      <w:b/>
                      <w:sz w:val="21"/>
                      <w:highlight w:val="none"/>
                    </w:rPr>
                    <w:t>配套线束长度</w:t>
                  </w:r>
                </w:p>
              </w:tc>
              <w:tc>
                <w:tcPr>
                  <w:tcW w:w="4740" w:type="dxa"/>
                  <w:tcBorders>
                    <w:top w:val="single" w:color="000000" w:sz="4" w:space="0"/>
                    <w:left w:val="single" w:color="000000" w:sz="4" w:space="0"/>
                    <w:bottom w:val="single" w:color="000000" w:sz="4" w:space="0"/>
                    <w:right w:val="single" w:color="000000" w:sz="4" w:space="0"/>
                  </w:tcBorders>
                  <w:vAlign w:val="top"/>
                </w:tcPr>
                <w:p>
                  <w:pPr>
                    <w:pStyle w:val="22"/>
                    <w:spacing w:before="146"/>
                    <w:ind w:right="3975"/>
                    <w:jc w:val="center"/>
                    <w:rPr>
                      <w:b/>
                      <w:sz w:val="21"/>
                      <w:highlight w:val="none"/>
                    </w:rPr>
                  </w:pPr>
                  <w:r>
                    <w:rPr>
                      <w:rFonts w:hint="eastAsia"/>
                      <w:b/>
                      <w:sz w:val="21"/>
                      <w:highlight w:val="none"/>
                      <w:lang w:val="en-US" w:eastAsia="zh-CN"/>
                    </w:rPr>
                    <w:t xml:space="preserve">     </w:t>
                  </w:r>
                  <w:r>
                    <w:rPr>
                      <w:b/>
                      <w:sz w:val="21"/>
                      <w:highlight w:val="none"/>
                    </w:rPr>
                    <w:t>2m</w:t>
                  </w:r>
                </w:p>
              </w:tc>
            </w:tr>
          </w:tbl>
          <w:p>
            <w:pPr>
              <w:pStyle w:val="2"/>
              <w:numPr>
                <w:ilvl w:val="0"/>
                <w:numId w:val="0"/>
              </w:numPr>
              <w:spacing w:line="319" w:lineRule="auto"/>
              <w:ind w:right="898" w:rightChars="0" w:firstLine="420" w:firstLineChars="200"/>
              <w:rPr>
                <w:rFonts w:hint="eastAsia" w:ascii="宋体" w:hAnsi="宋体" w:eastAsiaTheme="minorEastAsia" w:cstheme="minorBidi"/>
                <w:b w:val="0"/>
                <w:bCs w:val="0"/>
                <w:kern w:val="2"/>
                <w:sz w:val="21"/>
                <w:szCs w:val="21"/>
                <w:highlight w:val="none"/>
                <w:lang w:val="en-US" w:eastAsia="zh-CN" w:bidi="ar-SA"/>
              </w:rPr>
            </w:pPr>
            <w:r>
              <w:rPr>
                <w:rFonts w:hint="eastAsia" w:eastAsiaTheme="minorEastAsia" w:cstheme="minorBidi"/>
                <w:b w:val="0"/>
                <w:bCs w:val="0"/>
                <w:kern w:val="2"/>
                <w:sz w:val="21"/>
                <w:szCs w:val="21"/>
                <w:highlight w:val="none"/>
                <w:lang w:val="en-US" w:eastAsia="zh-CN" w:bidi="ar-SA"/>
              </w:rPr>
              <w:t>2.具体</w:t>
            </w:r>
            <w:r>
              <w:rPr>
                <w:rFonts w:hint="eastAsia" w:ascii="宋体" w:hAnsi="宋体" w:eastAsiaTheme="minorEastAsia" w:cstheme="minorBidi"/>
                <w:b w:val="0"/>
                <w:bCs w:val="0"/>
                <w:kern w:val="2"/>
                <w:sz w:val="21"/>
                <w:szCs w:val="21"/>
                <w:highlight w:val="none"/>
                <w:lang w:val="en-US" w:eastAsia="zh-CN" w:bidi="ar-SA"/>
              </w:rPr>
              <w:t>参数</w:t>
            </w:r>
            <w:r>
              <w:rPr>
                <w:rFonts w:hint="eastAsia" w:eastAsiaTheme="minorEastAsia" w:cstheme="minorBidi"/>
                <w:b w:val="0"/>
                <w:bCs w:val="0"/>
                <w:kern w:val="2"/>
                <w:sz w:val="21"/>
                <w:szCs w:val="21"/>
                <w:highlight w:val="none"/>
                <w:lang w:val="en-US" w:eastAsia="zh-CN" w:bidi="ar-SA"/>
              </w:rPr>
              <w:t>要求</w:t>
            </w:r>
            <w:r>
              <w:rPr>
                <w:rFonts w:hint="eastAsia" w:ascii="宋体" w:hAnsi="宋体" w:eastAsiaTheme="minorEastAsia" w:cstheme="minorBidi"/>
                <w:b w:val="0"/>
                <w:bCs w:val="0"/>
                <w:kern w:val="2"/>
                <w:sz w:val="21"/>
                <w:szCs w:val="21"/>
                <w:highlight w:val="none"/>
                <w:lang w:val="en-US" w:eastAsia="zh-CN" w:bidi="ar-SA"/>
              </w:rPr>
              <w:t>：</w:t>
            </w:r>
          </w:p>
          <w:p>
            <w:pPr>
              <w:pStyle w:val="2"/>
              <w:numPr>
                <w:ilvl w:val="0"/>
                <w:numId w:val="0"/>
              </w:numPr>
              <w:spacing w:line="319" w:lineRule="auto"/>
              <w:ind w:right="898" w:rightChars="0" w:firstLine="420" w:firstLineChars="200"/>
              <w:rPr>
                <w:rFonts w:hint="eastAsia" w:ascii="宋体" w:hAnsi="宋体" w:eastAsiaTheme="minorEastAsia" w:cstheme="minorBidi"/>
                <w:b w:val="0"/>
                <w:bCs w:val="0"/>
                <w:kern w:val="2"/>
                <w:sz w:val="21"/>
                <w:szCs w:val="21"/>
                <w:highlight w:val="none"/>
                <w:lang w:val="en-US" w:eastAsia="zh-CN" w:bidi="ar-SA"/>
              </w:rPr>
            </w:pPr>
            <w:r>
              <w:rPr>
                <w:rFonts w:hint="eastAsia" w:eastAsiaTheme="minorEastAsia" w:cstheme="minorBidi"/>
                <w:b w:val="0"/>
                <w:bCs w:val="0"/>
                <w:kern w:val="2"/>
                <w:sz w:val="21"/>
                <w:szCs w:val="21"/>
                <w:highlight w:val="none"/>
                <w:lang w:val="en-US" w:eastAsia="zh-CN" w:bidi="ar-SA"/>
              </w:rPr>
              <w:t>3.系统配置清单</w:t>
            </w:r>
            <w:r>
              <w:rPr>
                <w:rFonts w:hint="eastAsia" w:ascii="宋体" w:hAnsi="宋体" w:eastAsiaTheme="minorEastAsia" w:cstheme="minorBidi"/>
                <w:b w:val="0"/>
                <w:bCs w:val="0"/>
                <w:kern w:val="2"/>
                <w:sz w:val="21"/>
                <w:szCs w:val="21"/>
                <w:highlight w:val="none"/>
                <w:lang w:val="en-US" w:eastAsia="zh-CN" w:bidi="ar-SA"/>
              </w:rPr>
              <w:t>：</w:t>
            </w:r>
          </w:p>
          <w:tbl>
            <w:tblPr>
              <w:tblStyle w:val="12"/>
              <w:tblW w:w="7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215"/>
              <w:gridCol w:w="765"/>
              <w:gridCol w:w="4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tcPr>
                <w:p>
                  <w:pPr>
                    <w:numPr>
                      <w:ilvl w:val="255"/>
                      <w:numId w:val="0"/>
                    </w:numPr>
                    <w:spacing w:line="360" w:lineRule="auto"/>
                    <w:jc w:val="center"/>
                    <w:rPr>
                      <w:rFonts w:hint="eastAsia"/>
                      <w:b/>
                      <w:szCs w:val="28"/>
                      <w:highlight w:val="none"/>
                      <w:vertAlign w:val="baseline"/>
                    </w:rPr>
                  </w:pPr>
                  <w:r>
                    <w:rPr>
                      <w:rFonts w:hint="eastAsia"/>
                      <w:b/>
                      <w:szCs w:val="28"/>
                      <w:highlight w:val="none"/>
                      <w:vertAlign w:val="baseline"/>
                    </w:rPr>
                    <w:t>序号</w:t>
                  </w:r>
                </w:p>
              </w:tc>
              <w:tc>
                <w:tcPr>
                  <w:tcW w:w="1215" w:type="dxa"/>
                </w:tcPr>
                <w:p>
                  <w:pPr>
                    <w:numPr>
                      <w:ilvl w:val="255"/>
                      <w:numId w:val="0"/>
                    </w:numPr>
                    <w:spacing w:line="360" w:lineRule="auto"/>
                    <w:jc w:val="center"/>
                    <w:rPr>
                      <w:rFonts w:hint="eastAsia"/>
                      <w:b/>
                      <w:szCs w:val="28"/>
                      <w:highlight w:val="none"/>
                      <w:vertAlign w:val="baseline"/>
                    </w:rPr>
                  </w:pPr>
                  <w:r>
                    <w:rPr>
                      <w:rFonts w:hint="eastAsia"/>
                      <w:b/>
                      <w:szCs w:val="28"/>
                      <w:highlight w:val="none"/>
                      <w:vertAlign w:val="baseline"/>
                    </w:rPr>
                    <w:t>系统各部件名称</w:t>
                  </w:r>
                </w:p>
              </w:tc>
              <w:tc>
                <w:tcPr>
                  <w:tcW w:w="765" w:type="dxa"/>
                  <w:vAlign w:val="center"/>
                </w:tcPr>
                <w:p>
                  <w:pPr>
                    <w:numPr>
                      <w:ilvl w:val="255"/>
                      <w:numId w:val="0"/>
                    </w:numPr>
                    <w:spacing w:line="360" w:lineRule="auto"/>
                    <w:jc w:val="center"/>
                    <w:rPr>
                      <w:rFonts w:hint="eastAsia" w:eastAsiaTheme="minorEastAsia"/>
                      <w:b/>
                      <w:szCs w:val="28"/>
                      <w:highlight w:val="none"/>
                      <w:vertAlign w:val="baseline"/>
                      <w:lang w:val="en-US" w:eastAsia="zh-CN"/>
                    </w:rPr>
                  </w:pPr>
                  <w:r>
                    <w:rPr>
                      <w:rFonts w:hint="eastAsia"/>
                      <w:b/>
                      <w:szCs w:val="28"/>
                      <w:highlight w:val="none"/>
                      <w:vertAlign w:val="baseline"/>
                      <w:lang w:val="en-US" w:eastAsia="zh-CN"/>
                    </w:rPr>
                    <w:t>数量</w:t>
                  </w:r>
                </w:p>
              </w:tc>
              <w:tc>
                <w:tcPr>
                  <w:tcW w:w="4832" w:type="dxa"/>
                  <w:vAlign w:val="center"/>
                </w:tcPr>
                <w:p>
                  <w:pPr>
                    <w:numPr>
                      <w:ilvl w:val="255"/>
                      <w:numId w:val="0"/>
                    </w:numPr>
                    <w:spacing w:line="360" w:lineRule="auto"/>
                    <w:jc w:val="center"/>
                    <w:rPr>
                      <w:rFonts w:hint="eastAsia"/>
                      <w:b/>
                      <w:szCs w:val="28"/>
                      <w:highlight w:val="none"/>
                      <w:vertAlign w:val="baseline"/>
                    </w:rPr>
                  </w:pPr>
                  <w:r>
                    <w:rPr>
                      <w:rFonts w:hint="eastAsia"/>
                      <w:b/>
                      <w:szCs w:val="28"/>
                      <w:highlight w:val="none"/>
                      <w:vertAlign w:val="baseline"/>
                    </w:rPr>
                    <w:t>包含组件名称或功能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36" w:type="dxa"/>
                  <w:vAlign w:val="center"/>
                </w:tcPr>
                <w:p>
                  <w:pPr>
                    <w:numPr>
                      <w:ilvl w:val="255"/>
                      <w:numId w:val="0"/>
                    </w:numPr>
                    <w:spacing w:line="360" w:lineRule="auto"/>
                    <w:jc w:val="both"/>
                    <w:rPr>
                      <w:rFonts w:hint="eastAsia"/>
                      <w:b w:val="0"/>
                      <w:bCs/>
                      <w:szCs w:val="28"/>
                      <w:highlight w:val="none"/>
                      <w:vertAlign w:val="baseline"/>
                      <w:lang w:val="en-US" w:eastAsia="zh-CN"/>
                    </w:rPr>
                  </w:pPr>
                  <w:r>
                    <w:rPr>
                      <w:rFonts w:hint="eastAsia"/>
                      <w:b w:val="0"/>
                      <w:bCs/>
                      <w:szCs w:val="28"/>
                      <w:highlight w:val="none"/>
                      <w:vertAlign w:val="baseline"/>
                      <w:lang w:val="en-US" w:eastAsia="zh-CN"/>
                    </w:rPr>
                    <w:t>1</w:t>
                  </w:r>
                </w:p>
                <w:p>
                  <w:pPr>
                    <w:numPr>
                      <w:ilvl w:val="255"/>
                      <w:numId w:val="0"/>
                    </w:numPr>
                    <w:spacing w:line="360" w:lineRule="auto"/>
                    <w:jc w:val="both"/>
                    <w:rPr>
                      <w:rFonts w:hint="eastAsia" w:eastAsiaTheme="minorEastAsia"/>
                      <w:b w:val="0"/>
                      <w:bCs/>
                      <w:szCs w:val="28"/>
                      <w:highlight w:val="none"/>
                      <w:vertAlign w:val="baseline"/>
                      <w:lang w:val="en-US" w:eastAsia="zh-CN"/>
                    </w:rPr>
                  </w:pPr>
                </w:p>
              </w:tc>
              <w:tc>
                <w:tcPr>
                  <w:tcW w:w="1215" w:type="dxa"/>
                  <w:vAlign w:val="center"/>
                </w:tcPr>
                <w:p>
                  <w:pPr>
                    <w:numPr>
                      <w:ilvl w:val="255"/>
                      <w:numId w:val="0"/>
                    </w:numPr>
                    <w:spacing w:line="240" w:lineRule="auto"/>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lang w:val="en-US" w:eastAsia="zh-CN"/>
                    </w:rPr>
                    <w:t>自动跟踪定位射流灭火装置</w:t>
                  </w:r>
                </w:p>
                <w:p>
                  <w:pPr>
                    <w:pStyle w:val="2"/>
                    <w:spacing w:line="240" w:lineRule="auto"/>
                    <w:jc w:val="both"/>
                    <w:rPr>
                      <w:rFonts w:hint="eastAsia" w:ascii="宋体" w:hAnsi="宋体" w:eastAsia="宋体" w:cs="宋体"/>
                      <w:b w:val="0"/>
                      <w:bCs w:val="0"/>
                      <w:sz w:val="21"/>
                      <w:szCs w:val="21"/>
                      <w:highlight w:val="none"/>
                    </w:rPr>
                  </w:pPr>
                </w:p>
              </w:tc>
              <w:tc>
                <w:tcPr>
                  <w:tcW w:w="765" w:type="dxa"/>
                  <w:vAlign w:val="center"/>
                </w:tcPr>
                <w:p>
                  <w:pPr>
                    <w:pStyle w:val="2"/>
                    <w:spacing w:line="240" w:lineRule="auto"/>
                    <w:jc w:val="both"/>
                    <w:rPr>
                      <w:rFonts w:hint="default"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2套</w:t>
                  </w:r>
                </w:p>
              </w:tc>
              <w:tc>
                <w:tcPr>
                  <w:tcW w:w="4832" w:type="dxa"/>
                  <w:vAlign w:val="center"/>
                </w:tcPr>
                <w:p>
                  <w:pPr>
                    <w:numPr>
                      <w:ilvl w:val="255"/>
                      <w:numId w:val="0"/>
                    </w:numPr>
                    <w:spacing w:line="240" w:lineRule="auto"/>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（1）自动跟踪定位射流灭火装置本体；</w:t>
                  </w:r>
                </w:p>
                <w:p>
                  <w:pPr>
                    <w:numPr>
                      <w:ilvl w:val="255"/>
                      <w:numId w:val="0"/>
                    </w:numPr>
                    <w:spacing w:line="240" w:lineRule="auto"/>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（2）启动探测组件；</w:t>
                  </w:r>
                </w:p>
                <w:p>
                  <w:pPr>
                    <w:numPr>
                      <w:ilvl w:val="255"/>
                      <w:numId w:val="0"/>
                    </w:numPr>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定位探测组件；</w:t>
                  </w:r>
                </w:p>
                <w:p>
                  <w:pPr>
                    <w:pStyle w:val="2"/>
                    <w:spacing w:line="240" w:lineRule="auto"/>
                    <w:jc w:val="both"/>
                    <w:rPr>
                      <w:rFonts w:hint="eastAsia" w:ascii="宋体" w:hAnsi="宋体" w:eastAsia="宋体" w:cs="宋体"/>
                      <w:b w:val="0"/>
                      <w:bCs w:val="0"/>
                      <w:sz w:val="21"/>
                      <w:szCs w:val="21"/>
                      <w:highlight w:val="none"/>
                      <w:lang w:eastAsia="zh-CN"/>
                    </w:rPr>
                  </w:pPr>
                  <w:r>
                    <w:rPr>
                      <w:rFonts w:hint="eastAsia" w:cs="宋体"/>
                      <w:b w:val="0"/>
                      <w:bCs w:val="0"/>
                      <w:sz w:val="21"/>
                      <w:szCs w:val="21"/>
                      <w:highlight w:val="none"/>
                      <w:lang w:eastAsia="zh-CN"/>
                    </w:rPr>
                    <w:t>（</w:t>
                  </w:r>
                  <w:r>
                    <w:rPr>
                      <w:rFonts w:hint="eastAsia" w:cs="宋体"/>
                      <w:b w:val="0"/>
                      <w:bCs w:val="0"/>
                      <w:sz w:val="21"/>
                      <w:szCs w:val="21"/>
                      <w:highlight w:val="none"/>
                      <w:lang w:val="en-US" w:eastAsia="zh-CN"/>
                    </w:rPr>
                    <w:t>4</w:t>
                  </w:r>
                  <w:r>
                    <w:rPr>
                      <w:rFonts w:hint="eastAsia" w:cs="宋体"/>
                      <w:b w:val="0"/>
                      <w:bCs w:val="0"/>
                      <w:sz w:val="21"/>
                      <w:szCs w:val="21"/>
                      <w:highlight w:val="none"/>
                      <w:lang w:eastAsia="zh-CN"/>
                    </w:rPr>
                    <w:t>）</w:t>
                  </w:r>
                  <w:r>
                    <w:rPr>
                      <w:rFonts w:hint="eastAsia" w:ascii="宋体" w:hAnsi="宋体" w:eastAsia="宋体" w:cs="宋体"/>
                      <w:b w:val="0"/>
                      <w:bCs w:val="0"/>
                      <w:sz w:val="21"/>
                      <w:szCs w:val="21"/>
                      <w:highlight w:val="none"/>
                    </w:rPr>
                    <w:t>电动阀/电磁阀</w:t>
                  </w:r>
                  <w:r>
                    <w:rPr>
                      <w:rFonts w:hint="eastAsia" w:cs="宋体"/>
                      <w:b w:val="0"/>
                      <w:bCs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255"/>
                      <w:numId w:val="0"/>
                    </w:numPr>
                    <w:spacing w:line="240" w:lineRule="auto"/>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p>
              </w:tc>
              <w:tc>
                <w:tcPr>
                  <w:tcW w:w="1215" w:type="dxa"/>
                  <w:vAlign w:val="center"/>
                </w:tcPr>
                <w:p>
                  <w:pPr>
                    <w:numPr>
                      <w:ilvl w:val="255"/>
                      <w:numId w:val="0"/>
                    </w:numPr>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现场控制箱</w:t>
                  </w:r>
                </w:p>
                <w:p>
                  <w:pPr>
                    <w:numPr>
                      <w:ilvl w:val="255"/>
                      <w:numId w:val="0"/>
                    </w:numPr>
                    <w:spacing w:line="240" w:lineRule="auto"/>
                    <w:jc w:val="both"/>
                    <w:rPr>
                      <w:rFonts w:hint="eastAsia" w:ascii="宋体" w:hAnsi="宋体" w:eastAsia="宋体" w:cs="宋体"/>
                      <w:b w:val="0"/>
                      <w:bCs w:val="0"/>
                      <w:sz w:val="21"/>
                      <w:szCs w:val="21"/>
                      <w:highlight w:val="none"/>
                    </w:rPr>
                  </w:pPr>
                </w:p>
              </w:tc>
              <w:tc>
                <w:tcPr>
                  <w:tcW w:w="765" w:type="dxa"/>
                  <w:vAlign w:val="center"/>
                </w:tcPr>
                <w:p>
                  <w:pPr>
                    <w:numPr>
                      <w:ilvl w:val="255"/>
                      <w:numId w:val="0"/>
                    </w:numPr>
                    <w:spacing w:line="240" w:lineRule="auto"/>
                    <w:jc w:val="both"/>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1套</w:t>
                  </w:r>
                </w:p>
              </w:tc>
              <w:tc>
                <w:tcPr>
                  <w:tcW w:w="4832" w:type="dxa"/>
                  <w:vAlign w:val="center"/>
                </w:tcPr>
                <w:p>
                  <w:pPr>
                    <w:numPr>
                      <w:ilvl w:val="255"/>
                      <w:numId w:val="0"/>
                    </w:numPr>
                    <w:spacing w:line="240" w:lineRule="auto"/>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控制自动跟踪定位射流灭火装置电源</w:t>
                  </w:r>
                  <w:r>
                    <w:rPr>
                      <w:rFonts w:hint="eastAsia" w:ascii="宋体" w:hAnsi="宋体" w:eastAsia="宋体" w:cs="宋体"/>
                      <w:b w:val="0"/>
                      <w:bCs w:val="0"/>
                      <w:sz w:val="21"/>
                      <w:szCs w:val="21"/>
                      <w:highlight w:val="none"/>
                      <w:lang w:eastAsia="zh-CN"/>
                    </w:rPr>
                    <w:t>；</w:t>
                  </w:r>
                </w:p>
                <w:p>
                  <w:pPr>
                    <w:numPr>
                      <w:ilvl w:val="255"/>
                      <w:numId w:val="0"/>
                    </w:numPr>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(AC220V)和电磁阀电源(AC220V)；</w:t>
                  </w:r>
                </w:p>
                <w:p>
                  <w:pPr>
                    <w:numPr>
                      <w:ilvl w:val="255"/>
                      <w:numId w:val="0"/>
                    </w:numPr>
                    <w:spacing w:line="240" w:lineRule="auto"/>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手动控制自动跟踪定位射流灭火装置转动、启阀</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启泵、急停等功能</w:t>
                  </w:r>
                  <w:r>
                    <w:rPr>
                      <w:rFonts w:hint="eastAsia" w:ascii="宋体" w:hAnsi="宋体" w:eastAsia="宋体" w:cs="宋体"/>
                      <w:b w:val="0"/>
                      <w:bCs w:val="0"/>
                      <w:sz w:val="21"/>
                      <w:szCs w:val="21"/>
                      <w:highlight w:val="none"/>
                      <w:lang w:eastAsia="zh-CN"/>
                    </w:rPr>
                    <w:t>；</w:t>
                  </w:r>
                </w:p>
                <w:p>
                  <w:pPr>
                    <w:numPr>
                      <w:ilvl w:val="255"/>
                      <w:numId w:val="0"/>
                    </w:numPr>
                    <w:spacing w:line="240" w:lineRule="auto"/>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通过 RS485 总线与自动射流灭火装置通讯</w:t>
                  </w:r>
                  <w:r>
                    <w:rPr>
                      <w:rFonts w:hint="eastAsia" w:ascii="宋体" w:hAnsi="宋体" w:eastAsia="宋体" w:cs="宋体"/>
                      <w:b w:val="0"/>
                      <w:bCs w:val="0"/>
                      <w:sz w:val="21"/>
                      <w:szCs w:val="21"/>
                      <w:highlight w:val="none"/>
                      <w:lang w:eastAsia="zh-CN"/>
                    </w:rPr>
                    <w:t>；</w:t>
                  </w:r>
                </w:p>
                <w:p>
                  <w:pPr>
                    <w:numPr>
                      <w:ilvl w:val="255"/>
                      <w:numId w:val="0"/>
                    </w:numPr>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通过RS485总线与控制主机通讯；</w:t>
                  </w:r>
                </w:p>
                <w:p>
                  <w:pPr>
                    <w:numPr>
                      <w:ilvl w:val="255"/>
                      <w:numId w:val="0"/>
                    </w:numPr>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输出声光报警</w:t>
                  </w:r>
                  <w:r>
                    <w:rPr>
                      <w:rFonts w:hint="eastAsia" w:ascii="宋体" w:hAnsi="宋体" w:eastAsia="宋体" w:cs="宋体"/>
                      <w:b w:val="0"/>
                      <w:bCs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36" w:type="dxa"/>
                  <w:vAlign w:val="center"/>
                </w:tcPr>
                <w:p>
                  <w:pPr>
                    <w:numPr>
                      <w:ilvl w:val="255"/>
                      <w:numId w:val="0"/>
                    </w:numPr>
                    <w:spacing w:line="240" w:lineRule="auto"/>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w:t>
                  </w:r>
                </w:p>
              </w:tc>
              <w:tc>
                <w:tcPr>
                  <w:tcW w:w="1215" w:type="dxa"/>
                  <w:vAlign w:val="center"/>
                </w:tcPr>
                <w:p>
                  <w:pPr>
                    <w:numPr>
                      <w:ilvl w:val="255"/>
                      <w:numId w:val="0"/>
                    </w:numPr>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水路组件</w:t>
                  </w:r>
                </w:p>
              </w:tc>
              <w:tc>
                <w:tcPr>
                  <w:tcW w:w="765" w:type="dxa"/>
                  <w:vAlign w:val="center"/>
                </w:tcPr>
                <w:p>
                  <w:pPr>
                    <w:numPr>
                      <w:ilvl w:val="255"/>
                      <w:numId w:val="0"/>
                    </w:numPr>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1套</w:t>
                  </w:r>
                </w:p>
              </w:tc>
              <w:tc>
                <w:tcPr>
                  <w:tcW w:w="4832" w:type="dxa"/>
                  <w:vAlign w:val="center"/>
                </w:tcPr>
                <w:p>
                  <w:pPr>
                    <w:numPr>
                      <w:ilvl w:val="255"/>
                      <w:numId w:val="0"/>
                    </w:numPr>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电磁阀：DN50（与 5S 或 10 灭火装置配)</w:t>
                  </w:r>
                </w:p>
              </w:tc>
            </w:tr>
          </w:tbl>
          <w:p>
            <w:pPr>
              <w:pStyle w:val="2"/>
              <w:rPr>
                <w:rFonts w:hint="eastAsia"/>
                <w:highlight w:val="none"/>
              </w:rPr>
            </w:pPr>
          </w:p>
          <w:p>
            <w:pPr>
              <w:numPr>
                <w:ilvl w:val="255"/>
                <w:numId w:val="0"/>
              </w:numPr>
              <w:spacing w:line="360" w:lineRule="auto"/>
              <w:rPr>
                <w:b/>
                <w:szCs w:val="28"/>
                <w:highlight w:val="none"/>
              </w:rPr>
            </w:pPr>
            <w:r>
              <w:rPr>
                <w:rFonts w:hint="eastAsia"/>
                <w:b/>
                <w:szCs w:val="28"/>
                <w:highlight w:val="none"/>
              </w:rPr>
              <w:t>三、交货期</w:t>
            </w:r>
          </w:p>
          <w:p>
            <w:pPr>
              <w:tabs>
                <w:tab w:val="left" w:pos="720"/>
              </w:tabs>
              <w:spacing w:line="360" w:lineRule="auto"/>
              <w:ind w:firstLine="420" w:firstLineChars="200"/>
              <w:rPr>
                <w:rFonts w:ascii="宋体"/>
                <w:highlight w:val="none"/>
              </w:rPr>
            </w:pPr>
            <w:r>
              <w:rPr>
                <w:rFonts w:hint="eastAsia" w:ascii="宋体" w:hAnsi="宋体"/>
                <w:highlight w:val="none"/>
              </w:rPr>
              <w:t>交货期</w:t>
            </w:r>
            <w:r>
              <w:rPr>
                <w:rFonts w:hint="eastAsia" w:ascii="宋体" w:hAnsi="宋体"/>
                <w:highlight w:val="none"/>
                <w:lang w:eastAsia="zh-CN"/>
              </w:rPr>
              <w:t>（</w:t>
            </w:r>
            <w:r>
              <w:rPr>
                <w:rFonts w:hint="eastAsia" w:ascii="宋体" w:hAnsi="宋体"/>
                <w:highlight w:val="none"/>
                <w:lang w:val="en-US" w:eastAsia="zh-CN"/>
              </w:rPr>
              <w:t>含安装及调试完毕</w:t>
            </w:r>
            <w:r>
              <w:rPr>
                <w:rFonts w:hint="eastAsia" w:ascii="宋体" w:hAnsi="宋体"/>
                <w:highlight w:val="none"/>
                <w:lang w:eastAsia="zh-CN"/>
              </w:rPr>
              <w:t>）</w:t>
            </w:r>
            <w:r>
              <w:rPr>
                <w:rFonts w:hint="eastAsia" w:ascii="宋体" w:hAnsi="宋体"/>
                <w:highlight w:val="none"/>
              </w:rPr>
              <w:t>为从合同签订之日算起</w:t>
            </w:r>
            <w:r>
              <w:rPr>
                <w:rFonts w:hint="eastAsia" w:ascii="宋体" w:hAnsi="宋体"/>
                <w:highlight w:val="none"/>
                <w:u w:val="single"/>
              </w:rPr>
              <w:t xml:space="preserve"> </w:t>
            </w:r>
            <w:r>
              <w:rPr>
                <w:rFonts w:hint="eastAsia" w:ascii="宋体" w:hAnsi="宋体"/>
                <w:highlight w:val="none"/>
                <w:u w:val="single"/>
                <w:lang w:val="en-US" w:eastAsia="zh-CN"/>
              </w:rPr>
              <w:t>30</w:t>
            </w:r>
            <w:r>
              <w:rPr>
                <w:rFonts w:hint="eastAsia" w:ascii="宋体" w:hAnsi="宋体"/>
                <w:highlight w:val="none"/>
              </w:rPr>
              <w:t>天</w:t>
            </w:r>
            <w:r>
              <w:rPr>
                <w:rFonts w:hint="eastAsia"/>
                <w:highlight w:val="none"/>
                <w:lang w:val="en-US" w:eastAsia="zh-CN"/>
              </w:rPr>
              <w:t>内</w:t>
            </w:r>
            <w:r>
              <w:rPr>
                <w:rFonts w:hint="eastAsia" w:ascii="宋体" w:hAnsi="宋体"/>
                <w:highlight w:val="none"/>
              </w:rPr>
              <w:t>，如遇下列情况，交货期可相应顺延，并双方以书面形式确定顺延期限：</w:t>
            </w:r>
          </w:p>
          <w:p>
            <w:pPr>
              <w:tabs>
                <w:tab w:val="left" w:pos="720"/>
              </w:tabs>
              <w:spacing w:line="360" w:lineRule="auto"/>
              <w:ind w:firstLine="420" w:firstLineChars="200"/>
              <w:rPr>
                <w:rFonts w:ascii="宋体"/>
                <w:highlight w:val="none"/>
              </w:rPr>
            </w:pPr>
            <w:r>
              <w:rPr>
                <w:rFonts w:hint="eastAsia" w:ascii="宋体" w:hAnsi="宋体"/>
                <w:highlight w:val="none"/>
              </w:rPr>
              <w:t>1.采购人在方案上提出重大修改建议的，或因其他原因确实需要顺延的；</w:t>
            </w:r>
          </w:p>
          <w:p>
            <w:pPr>
              <w:tabs>
                <w:tab w:val="left" w:pos="720"/>
              </w:tabs>
              <w:spacing w:line="360" w:lineRule="auto"/>
              <w:ind w:firstLine="420" w:firstLineChars="200"/>
              <w:rPr>
                <w:rFonts w:ascii="宋体"/>
                <w:highlight w:val="none"/>
              </w:rPr>
            </w:pPr>
            <w:r>
              <w:rPr>
                <w:rFonts w:hint="eastAsia" w:ascii="宋体" w:hAnsi="宋体"/>
                <w:highlight w:val="none"/>
              </w:rPr>
              <w:t>2.成交供应商在安装过程中，因停水、停电</w:t>
            </w:r>
            <w:r>
              <w:rPr>
                <w:rFonts w:ascii="宋体" w:hAnsi="宋体"/>
                <w:highlight w:val="none"/>
              </w:rPr>
              <w:t>8</w:t>
            </w:r>
            <w:r>
              <w:rPr>
                <w:rFonts w:hint="eastAsia" w:ascii="宋体" w:hAnsi="宋体"/>
                <w:highlight w:val="none"/>
              </w:rPr>
              <w:t>小时以上的，且对项目造成实质影响的；</w:t>
            </w:r>
          </w:p>
          <w:p>
            <w:pPr>
              <w:tabs>
                <w:tab w:val="left" w:pos="720"/>
              </w:tabs>
              <w:spacing w:line="360" w:lineRule="auto"/>
              <w:ind w:firstLine="420" w:firstLineChars="200"/>
              <w:rPr>
                <w:rFonts w:ascii="宋体"/>
                <w:highlight w:val="none"/>
              </w:rPr>
            </w:pPr>
            <w:r>
              <w:rPr>
                <w:rFonts w:ascii="宋体" w:hAnsi="宋体"/>
                <w:highlight w:val="none"/>
              </w:rPr>
              <w:t>3</w:t>
            </w:r>
            <w:r>
              <w:rPr>
                <w:rFonts w:hint="eastAsia" w:ascii="宋体" w:hAnsi="宋体"/>
                <w:highlight w:val="none"/>
              </w:rPr>
              <w:t>．因遇人力不可抗拒的自然灾害（如台风、水灾，自然原因发生的火灾、地震等）而影响交货进度的。</w:t>
            </w:r>
          </w:p>
          <w:p>
            <w:pPr>
              <w:numPr>
                <w:ilvl w:val="255"/>
                <w:numId w:val="0"/>
              </w:numPr>
              <w:spacing w:line="360" w:lineRule="auto"/>
              <w:rPr>
                <w:b/>
                <w:szCs w:val="28"/>
                <w:highlight w:val="none"/>
              </w:rPr>
            </w:pPr>
            <w:r>
              <w:rPr>
                <w:rFonts w:hint="eastAsia"/>
                <w:b/>
                <w:szCs w:val="28"/>
                <w:highlight w:val="none"/>
              </w:rPr>
              <w:t>四、安装要求</w:t>
            </w:r>
          </w:p>
          <w:p>
            <w:pPr>
              <w:tabs>
                <w:tab w:val="left" w:pos="720"/>
              </w:tabs>
              <w:spacing w:line="360" w:lineRule="auto"/>
              <w:ind w:firstLine="420" w:firstLineChars="200"/>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.成交供应商必须严格按照采购人已确认的数量、位置进行安装，设备安装前需经采购人的主管部门确认，发现使用劣质材料或以以次充好的，采购人有权拒收，一切费用由成交供应商承担。</w:t>
            </w:r>
          </w:p>
          <w:p>
            <w:pPr>
              <w:tabs>
                <w:tab w:val="left" w:pos="720"/>
              </w:tabs>
              <w:spacing w:line="360" w:lineRule="auto"/>
              <w:ind w:firstLine="420" w:firstLineChars="200"/>
              <w:rPr>
                <w:rFonts w:ascii="宋体"/>
                <w:highlight w:val="none"/>
              </w:rPr>
            </w:pPr>
            <w:r>
              <w:rPr>
                <w:rFonts w:hint="eastAsia" w:ascii="宋体" w:hAnsi="宋体"/>
                <w:highlight w:val="none"/>
              </w:rPr>
              <w:t>2.成交供应商在安装时应严格遵守国家、省、市有关安全规定及采购人的各项规章制度。</w:t>
            </w:r>
          </w:p>
          <w:p>
            <w:pPr>
              <w:tabs>
                <w:tab w:val="left" w:pos="720"/>
              </w:tabs>
              <w:spacing w:line="360" w:lineRule="auto"/>
              <w:ind w:firstLine="420" w:firstLineChars="200"/>
              <w:rPr>
                <w:rFonts w:ascii="宋体"/>
                <w:highlight w:val="none"/>
              </w:rPr>
            </w:pPr>
            <w:r>
              <w:rPr>
                <w:rFonts w:ascii="宋体" w:hAnsi="宋体"/>
                <w:highlight w:val="none"/>
              </w:rPr>
              <w:t>3</w:t>
            </w:r>
            <w:r>
              <w:rPr>
                <w:rFonts w:hint="eastAsia" w:ascii="宋体" w:hAnsi="宋体"/>
                <w:highlight w:val="none"/>
              </w:rPr>
              <w:t>.成交供应商在安装时必须配备专职安全员，建立健全安全制度，做好工作人员的安全措施，确保工作人员和第三者的人身安全。</w:t>
            </w:r>
          </w:p>
          <w:p>
            <w:pPr>
              <w:tabs>
                <w:tab w:val="left" w:pos="720"/>
              </w:tabs>
              <w:spacing w:line="360" w:lineRule="auto"/>
              <w:ind w:firstLine="420" w:firstLineChars="200"/>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.成交供应商应为该项目所有人员办理医疗及工伤社会保险，在项目实施过程中造成的一切人员伤亡事故，由成交供应商承担全部事故责任和发生的费用。</w:t>
            </w:r>
          </w:p>
          <w:p>
            <w:pPr>
              <w:tabs>
                <w:tab w:val="left" w:pos="720"/>
              </w:tabs>
              <w:spacing w:line="360" w:lineRule="auto"/>
              <w:ind w:firstLine="420" w:firstLineChars="200"/>
              <w:rPr>
                <w:rFonts w:ascii="宋体"/>
                <w:highlight w:val="none"/>
              </w:rPr>
            </w:pPr>
            <w:r>
              <w:rPr>
                <w:rFonts w:ascii="宋体" w:hAnsi="宋体"/>
                <w:highlight w:val="none"/>
              </w:rPr>
              <w:t>5</w:t>
            </w:r>
            <w:r>
              <w:rPr>
                <w:rFonts w:hint="eastAsia" w:ascii="宋体" w:hAnsi="宋体"/>
                <w:highlight w:val="none"/>
              </w:rPr>
              <w:t>.成交供应商在安装期间应做好现场的安全围蔽，做好提醒工作。</w:t>
            </w:r>
          </w:p>
          <w:p>
            <w:pPr>
              <w:tabs>
                <w:tab w:val="left" w:pos="720"/>
              </w:tabs>
              <w:spacing w:line="360" w:lineRule="auto"/>
              <w:ind w:firstLine="420" w:firstLineChars="200"/>
              <w:rPr>
                <w:rFonts w:ascii="宋体"/>
                <w:highlight w:val="none"/>
              </w:rPr>
            </w:pPr>
            <w:r>
              <w:rPr>
                <w:rFonts w:ascii="宋体" w:hAnsi="宋体"/>
                <w:highlight w:val="none"/>
              </w:rPr>
              <w:t>6</w:t>
            </w:r>
            <w:r>
              <w:rPr>
                <w:rFonts w:hint="eastAsia" w:ascii="宋体" w:hAnsi="宋体"/>
                <w:highlight w:val="none"/>
              </w:rPr>
              <w:t>.成交供应商在安装期间，必须建立安全用电制度，确保用电设备的完好无损，并设置漏电保护装置。</w:t>
            </w:r>
          </w:p>
          <w:p>
            <w:pPr>
              <w:tabs>
                <w:tab w:val="left" w:pos="720"/>
              </w:tabs>
              <w:spacing w:line="360" w:lineRule="auto"/>
              <w:ind w:firstLine="420" w:firstLineChars="200"/>
              <w:rPr>
                <w:rFonts w:ascii="宋体"/>
                <w:highlight w:val="none"/>
              </w:rPr>
            </w:pPr>
            <w:r>
              <w:rPr>
                <w:rFonts w:ascii="宋体" w:hAnsi="宋体"/>
                <w:highlight w:val="none"/>
              </w:rPr>
              <w:t>7</w:t>
            </w:r>
            <w:r>
              <w:rPr>
                <w:rFonts w:hint="eastAsia" w:ascii="宋体" w:hAnsi="宋体"/>
                <w:highlight w:val="none"/>
              </w:rPr>
              <w:t>.成交供应商必须确保现场的清洁卫生，所产生的垃圾必须当日清理干净，不得随处倾倒或留在现场。</w:t>
            </w:r>
          </w:p>
          <w:p>
            <w:pPr>
              <w:tabs>
                <w:tab w:val="left" w:pos="720"/>
              </w:tabs>
              <w:spacing w:line="360" w:lineRule="auto"/>
              <w:ind w:firstLine="420" w:firstLineChars="200"/>
              <w:rPr>
                <w:rFonts w:ascii="宋体"/>
                <w:highlight w:val="none"/>
              </w:rPr>
            </w:pPr>
            <w:r>
              <w:rPr>
                <w:rFonts w:hint="eastAsia" w:ascii="宋体" w:hAnsi="宋体"/>
                <w:highlight w:val="none"/>
              </w:rPr>
              <w:t>8.成交供应商负责派出的现场所有人员的食、宿和交通等费用，采购人不再另行支付。</w:t>
            </w:r>
          </w:p>
          <w:p>
            <w:pPr>
              <w:autoSpaceDE w:val="0"/>
              <w:autoSpaceDN w:val="0"/>
              <w:spacing w:line="360" w:lineRule="auto"/>
              <w:ind w:firstLine="420" w:firstLineChars="200"/>
              <w:rPr>
                <w:rFonts w:hint="eastAsia" w:ascii="宋体" w:hAnsi="宋体"/>
                <w:highlight w:val="none"/>
              </w:rPr>
            </w:pPr>
            <w:r>
              <w:rPr>
                <w:rFonts w:hint="eastAsia" w:ascii="宋体" w:hAnsi="宋体"/>
                <w:highlight w:val="none"/>
              </w:rPr>
              <w:t>9.成交供应商不得分包或转包该项目给第三方。否则，因此造成的一切责任由成交供应商承担。</w:t>
            </w:r>
          </w:p>
          <w:p>
            <w:pPr>
              <w:autoSpaceDE w:val="0"/>
              <w:autoSpaceDN w:val="0"/>
              <w:spacing w:line="360" w:lineRule="auto"/>
              <w:rPr>
                <w:rFonts w:hint="eastAsia" w:ascii="宋体" w:hAnsi="宋体"/>
                <w:b/>
                <w:szCs w:val="21"/>
                <w:highlight w:val="none"/>
                <w:lang w:val="en-US" w:eastAsia="zh-CN"/>
              </w:rPr>
            </w:pPr>
            <w:r>
              <w:rPr>
                <w:rFonts w:hint="eastAsia" w:ascii="宋体" w:hAnsi="宋体"/>
                <w:b/>
                <w:szCs w:val="21"/>
                <w:highlight w:val="none"/>
                <w:lang w:val="en-US" w:eastAsia="zh-CN"/>
              </w:rPr>
              <w:t>五、质保期限</w:t>
            </w:r>
          </w:p>
          <w:p>
            <w:pPr>
              <w:tabs>
                <w:tab w:val="left" w:pos="720"/>
              </w:tabs>
              <w:spacing w:line="360" w:lineRule="auto"/>
              <w:ind w:firstLine="210" w:firstLineChars="100"/>
              <w:rPr>
                <w:rFonts w:ascii="宋体"/>
                <w:highlight w:val="none"/>
              </w:rPr>
            </w:pPr>
            <w:r>
              <w:rPr>
                <w:rFonts w:hint="eastAsia" w:ascii="宋体" w:hAnsi="宋体"/>
                <w:highlight w:val="none"/>
              </w:rPr>
              <w:t>★</w:t>
            </w:r>
            <w:r>
              <w:rPr>
                <w:rFonts w:hint="eastAsia" w:ascii="宋体" w:hAnsi="宋体"/>
                <w:highlight w:val="none"/>
                <w:lang w:val="en-US" w:eastAsia="zh-CN"/>
              </w:rPr>
              <w:t>1.</w:t>
            </w:r>
            <w:r>
              <w:rPr>
                <w:rFonts w:hint="eastAsia" w:ascii="宋体" w:hAnsi="宋体" w:eastAsia="宋体" w:cs="宋体"/>
                <w:highlight w:val="none"/>
              </w:rPr>
              <w:t>自</w:t>
            </w:r>
            <w:r>
              <w:rPr>
                <w:rFonts w:hint="eastAsia" w:ascii="宋体" w:hAnsi="宋体" w:eastAsia="宋体" w:cs="宋体"/>
                <w:highlight w:val="none"/>
                <w:lang w:val="en-US" w:eastAsia="zh-CN"/>
              </w:rPr>
              <w:t>通过验收合格之日起至少</w:t>
            </w:r>
            <w:r>
              <w:rPr>
                <w:rFonts w:hint="eastAsia" w:ascii="宋体" w:hAnsi="宋体" w:eastAsia="宋体" w:cs="宋体"/>
                <w:b/>
                <w:bCs/>
                <w:highlight w:val="none"/>
                <w:u w:val="single"/>
                <w:lang w:val="en-US" w:eastAsia="zh-CN"/>
              </w:rPr>
              <w:t>1</w:t>
            </w:r>
            <w:r>
              <w:rPr>
                <w:rFonts w:hint="eastAsia" w:ascii="宋体" w:hAnsi="宋体" w:eastAsia="宋体" w:cs="宋体"/>
                <w:highlight w:val="none"/>
              </w:rPr>
              <w:t>年。</w:t>
            </w:r>
            <w:r>
              <w:rPr>
                <w:rFonts w:hint="eastAsia" w:ascii="宋体" w:hAnsi="宋体"/>
                <w:highlight w:val="none"/>
              </w:rPr>
              <w:t>质保期自验收合格之日起计算，质保期内成交供应商须进行质量“三包”。</w:t>
            </w:r>
          </w:p>
          <w:p>
            <w:pPr>
              <w:tabs>
                <w:tab w:val="left" w:pos="720"/>
              </w:tabs>
              <w:spacing w:line="360" w:lineRule="auto"/>
              <w:ind w:firstLine="420" w:firstLineChars="200"/>
              <w:rPr>
                <w:rFonts w:ascii="宋体"/>
                <w:highlight w:val="none"/>
              </w:rPr>
            </w:pPr>
            <w:r>
              <w:rPr>
                <w:rFonts w:ascii="宋体" w:hAnsi="宋体"/>
                <w:highlight w:val="none"/>
              </w:rPr>
              <w:t>2</w:t>
            </w:r>
            <w:r>
              <w:rPr>
                <w:rFonts w:hint="eastAsia" w:ascii="宋体" w:hAnsi="宋体"/>
                <w:highlight w:val="none"/>
              </w:rPr>
              <w:t>.质保期内因质量或工艺问题（人为损坏及自然灾害除外），成交供应商应免费保修（包工包料）。</w:t>
            </w:r>
          </w:p>
          <w:p>
            <w:pPr>
              <w:tabs>
                <w:tab w:val="left" w:pos="720"/>
              </w:tabs>
              <w:spacing w:line="360" w:lineRule="auto"/>
              <w:ind w:firstLine="420" w:firstLineChars="200"/>
              <w:rPr>
                <w:rFonts w:ascii="宋体"/>
                <w:highlight w:val="none"/>
              </w:rPr>
            </w:pPr>
            <w:r>
              <w:rPr>
                <w:rFonts w:ascii="宋体" w:hAnsi="宋体"/>
                <w:highlight w:val="none"/>
              </w:rPr>
              <w:t>3</w:t>
            </w:r>
            <w:r>
              <w:rPr>
                <w:rFonts w:hint="eastAsia" w:ascii="宋体" w:hAnsi="宋体"/>
                <w:highlight w:val="none"/>
              </w:rPr>
              <w:t>.质保期内，电话</w:t>
            </w:r>
            <w:r>
              <w:rPr>
                <w:rFonts w:ascii="宋体" w:hAnsi="宋体"/>
                <w:highlight w:val="none"/>
              </w:rPr>
              <w:t>24</w:t>
            </w:r>
            <w:r>
              <w:rPr>
                <w:rFonts w:hint="eastAsia" w:ascii="宋体" w:hAnsi="宋体"/>
                <w:highlight w:val="none"/>
              </w:rPr>
              <w:t>小时响应，</w:t>
            </w:r>
            <w:r>
              <w:rPr>
                <w:rFonts w:ascii="宋体" w:hAnsi="宋体"/>
                <w:highlight w:val="none"/>
              </w:rPr>
              <w:t>2</w:t>
            </w:r>
            <w:r>
              <w:rPr>
                <w:rFonts w:hint="eastAsia" w:ascii="宋体" w:hAnsi="宋体"/>
                <w:highlight w:val="none"/>
              </w:rPr>
              <w:t>小时内到场排查故障，</w:t>
            </w:r>
            <w:r>
              <w:rPr>
                <w:rFonts w:ascii="宋体" w:hAnsi="宋体"/>
                <w:highlight w:val="none"/>
              </w:rPr>
              <w:t>2</w:t>
            </w:r>
            <w:r>
              <w:rPr>
                <w:rFonts w:hint="eastAsia" w:ascii="宋体" w:hAnsi="宋体"/>
                <w:highlight w:val="none"/>
              </w:rPr>
              <w:t>天内完成修复处理（如无法完成须向采购人提交书面的情况说明）。如成交供应商未按约定时间进行维修，采购人可另行安排人员维修，所产生的相关费用由成交供应商承担，在质量保证金中扣除。</w:t>
            </w:r>
          </w:p>
          <w:p>
            <w:pPr>
              <w:spacing w:line="360" w:lineRule="auto"/>
              <w:ind w:firstLine="420" w:firstLineChars="200"/>
              <w:rPr>
                <w:rFonts w:hint="eastAsia" w:ascii="宋体" w:hAnsi="宋体"/>
                <w:highlight w:val="none"/>
              </w:rPr>
            </w:pPr>
            <w:r>
              <w:rPr>
                <w:rFonts w:ascii="宋体" w:hAnsi="宋体"/>
                <w:highlight w:val="none"/>
              </w:rPr>
              <w:t>4</w:t>
            </w:r>
            <w:r>
              <w:rPr>
                <w:rFonts w:hint="eastAsia" w:ascii="宋体" w:hAnsi="宋体"/>
                <w:highlight w:val="none"/>
              </w:rPr>
              <w:t>.保修期及文件中未列明的其他项目的保修期按国家现行的质量保修办法的规定执行。</w:t>
            </w:r>
          </w:p>
          <w:p>
            <w:pPr>
              <w:numPr>
                <w:ilvl w:val="255"/>
                <w:numId w:val="0"/>
              </w:numPr>
              <w:spacing w:line="360" w:lineRule="auto"/>
              <w:rPr>
                <w:rFonts w:hint="eastAsia"/>
                <w:highlight w:val="none"/>
              </w:rPr>
            </w:pPr>
            <w:r>
              <w:rPr>
                <w:rFonts w:hint="eastAsia"/>
                <w:b/>
                <w:szCs w:val="28"/>
                <w:highlight w:val="none"/>
                <w:lang w:val="en-US" w:eastAsia="zh-CN"/>
              </w:rPr>
              <w:t>六</w:t>
            </w:r>
            <w:r>
              <w:rPr>
                <w:rFonts w:hint="eastAsia"/>
                <w:b/>
                <w:szCs w:val="28"/>
                <w:highlight w:val="none"/>
              </w:rPr>
              <w:t>、项目报价说明</w:t>
            </w:r>
          </w:p>
          <w:p>
            <w:pPr>
              <w:tabs>
                <w:tab w:val="left" w:pos="720"/>
              </w:tabs>
              <w:spacing w:line="360" w:lineRule="auto"/>
              <w:ind w:firstLine="420" w:firstLineChars="200"/>
              <w:rPr>
                <w:highlight w:val="none"/>
              </w:rPr>
            </w:pPr>
            <w:r>
              <w:rPr>
                <w:rFonts w:ascii="宋体" w:hAnsi="宋体"/>
                <w:highlight w:val="none"/>
              </w:rPr>
              <w:t>1</w:t>
            </w:r>
            <w:r>
              <w:rPr>
                <w:rFonts w:hint="eastAsia" w:ascii="宋体" w:hAnsi="宋体"/>
                <w:highlight w:val="none"/>
              </w:rPr>
              <w:t>.本次响应报价应为人民币含税全包价，包括价格、包装费、安装费、运杂费、保险费、卸车费、配合费、检测费、配送费、税金及响应供应商认为需要的其他费用等，报价不得高于本项目的最高限价。</w:t>
            </w:r>
          </w:p>
          <w:p>
            <w:pPr>
              <w:autoSpaceDE w:val="0"/>
              <w:autoSpaceDN w:val="0"/>
              <w:spacing w:line="360" w:lineRule="auto"/>
              <w:rPr>
                <w:rFonts w:hint="eastAsia" w:ascii="宋体" w:hAnsi="宋体"/>
                <w:b/>
                <w:szCs w:val="21"/>
                <w:highlight w:val="none"/>
                <w:lang w:val="en-US" w:eastAsia="zh-CN"/>
              </w:rPr>
            </w:pPr>
            <w:r>
              <w:rPr>
                <w:rFonts w:hint="eastAsia" w:ascii="宋体" w:hAnsi="宋体"/>
                <w:b/>
                <w:szCs w:val="21"/>
                <w:highlight w:val="none"/>
                <w:lang w:val="en-US" w:eastAsia="zh-CN"/>
              </w:rPr>
              <w:t>七、验收</w:t>
            </w:r>
          </w:p>
          <w:p>
            <w:pPr>
              <w:tabs>
                <w:tab w:val="left" w:pos="720"/>
              </w:tabs>
              <w:spacing w:line="360" w:lineRule="auto"/>
              <w:ind w:firstLine="420" w:firstLineChars="200"/>
              <w:rPr>
                <w:rFonts w:hint="eastAsia" w:ascii="宋体" w:hAnsi="宋体"/>
                <w:highlight w:val="none"/>
                <w:lang w:val="en-US" w:eastAsia="zh-CN"/>
              </w:rPr>
            </w:pPr>
            <w:r>
              <w:rPr>
                <w:rFonts w:hint="eastAsia" w:ascii="宋体" w:hAnsi="宋体"/>
                <w:highlight w:val="none"/>
                <w:lang w:val="en-US" w:eastAsia="zh-CN"/>
              </w:rPr>
              <w:t>1.成交供应商将货物送货至采购人指定地点后，由采购人按照采购合同、相关采购需求书要求进行核对，根据国家相关法律法规、质量标准，对货物的规格参数和质量进行验收。</w:t>
            </w:r>
          </w:p>
          <w:p>
            <w:pPr>
              <w:tabs>
                <w:tab w:val="left" w:pos="720"/>
              </w:tabs>
              <w:spacing w:line="360" w:lineRule="auto"/>
              <w:ind w:firstLine="420" w:firstLineChars="200"/>
              <w:rPr>
                <w:rFonts w:hint="eastAsia" w:ascii="宋体" w:hAnsi="宋体"/>
                <w:highlight w:val="none"/>
                <w:lang w:val="en-US" w:eastAsia="zh-CN"/>
              </w:rPr>
            </w:pPr>
            <w:r>
              <w:rPr>
                <w:rFonts w:hint="eastAsia" w:ascii="宋体" w:hAnsi="宋体"/>
                <w:highlight w:val="none"/>
                <w:lang w:val="en-US" w:eastAsia="zh-CN"/>
              </w:rPr>
              <w:t>2.货物在验收过程中发现所交付的货物有短缺、次品、损坏或其他不符合磋商（招标）文件、合同规定之情形者，采购人有权拒付该货物的费用，并由成交供应商承担由此发生的一切费用和损失。</w:t>
            </w:r>
          </w:p>
          <w:p>
            <w:pPr>
              <w:tabs>
                <w:tab w:val="left" w:pos="720"/>
              </w:tabs>
              <w:spacing w:line="360" w:lineRule="auto"/>
              <w:ind w:firstLine="420" w:firstLineChars="200"/>
              <w:rPr>
                <w:rFonts w:hint="eastAsia" w:ascii="宋体" w:hAnsi="宋体"/>
                <w:highlight w:val="none"/>
                <w:lang w:val="en-US" w:eastAsia="zh-CN"/>
              </w:rPr>
            </w:pPr>
            <w:r>
              <w:rPr>
                <w:rFonts w:hint="eastAsia" w:ascii="宋体" w:hAnsi="宋体"/>
                <w:highlight w:val="none"/>
                <w:lang w:val="en-US" w:eastAsia="zh-CN"/>
              </w:rPr>
              <w:t>3.</w:t>
            </w:r>
            <w:r>
              <w:rPr>
                <w:rFonts w:hint="eastAsia" w:ascii="宋体" w:hAnsi="宋体"/>
                <w:highlight w:val="none"/>
              </w:rPr>
              <w:t>如果验收不合格的，成交供应商应按相关要求限期至整改至合格为止，采购人不支付因此产生的任何费用。如果成交供应商未能按要求完成整改的，采购人可另行安排人员维修，所产生的相关费用由成交供应商承担</w:t>
            </w:r>
            <w:r>
              <w:rPr>
                <w:rFonts w:hint="eastAsia" w:ascii="宋体" w:hAnsi="宋体"/>
                <w:highlight w:val="none"/>
                <w:lang w:val="en-US" w:eastAsia="zh-CN"/>
              </w:rPr>
              <w:t>。</w:t>
            </w:r>
          </w:p>
          <w:p>
            <w:pPr>
              <w:tabs>
                <w:tab w:val="left" w:pos="720"/>
              </w:tabs>
              <w:spacing w:line="360" w:lineRule="auto"/>
              <w:ind w:firstLine="420" w:firstLineChars="200"/>
              <w:rPr>
                <w:rFonts w:hint="eastAsia" w:ascii="宋体" w:hAnsi="宋体"/>
                <w:highlight w:val="none"/>
                <w:lang w:val="en-US" w:eastAsia="zh-CN"/>
              </w:rPr>
            </w:pPr>
            <w:r>
              <w:rPr>
                <w:rFonts w:hint="eastAsia" w:ascii="宋体" w:hAnsi="宋体"/>
                <w:highlight w:val="none"/>
                <w:lang w:val="en-US" w:eastAsia="zh-CN"/>
              </w:rPr>
              <w:t>4.因质量问题发生争议时，由地级市或以上的质检部门进行相关鉴定，鉴定费用由成交供应商先行垫付，鉴定结果符合质量技术要求，发生的所有鉴定费由采购人承担；鉴定结果不符合质量技术要求，发生的所有鉴定费由成交供应商承担。</w:t>
            </w:r>
          </w:p>
          <w:p>
            <w:pPr>
              <w:autoSpaceDE/>
              <w:snapToGrid w:val="0"/>
              <w:spacing w:line="360" w:lineRule="auto"/>
              <w:ind w:firstLine="420" w:firstLineChars="200"/>
              <w:jc w:val="both"/>
              <w:rPr>
                <w:rFonts w:ascii="宋体"/>
                <w:szCs w:val="22"/>
                <w:highlight w:val="none"/>
              </w:rPr>
            </w:pPr>
            <w:r>
              <w:rPr>
                <w:rFonts w:hint="eastAsia" w:ascii="宋体" w:hAnsi="宋体"/>
                <w:highlight w:val="none"/>
                <w:lang w:val="en-US" w:eastAsia="zh-CN"/>
              </w:rPr>
              <w:t>5.若成交供应商提供的产品发生知识产权纠纷的，由成交供应商执行处置与原知识产权所有者协商解决，采购人不承担与之相关的任何经济和法律责任。如采购人因此而遭受损失，成交供应商应承担全部的赔偿责任。</w:t>
            </w:r>
          </w:p>
          <w:p>
            <w:pPr>
              <w:autoSpaceDE w:val="0"/>
              <w:autoSpaceDN w:val="0"/>
              <w:spacing w:line="360" w:lineRule="auto"/>
              <w:rPr>
                <w:rFonts w:hint="eastAsia" w:ascii="宋体" w:hAnsi="宋体"/>
                <w:b/>
                <w:szCs w:val="21"/>
                <w:highlight w:val="none"/>
                <w:lang w:val="en-US" w:eastAsia="zh-CN"/>
              </w:rPr>
            </w:pPr>
            <w:r>
              <w:rPr>
                <w:rFonts w:hint="eastAsia" w:ascii="宋体" w:hAnsi="宋体"/>
                <w:b/>
                <w:szCs w:val="21"/>
                <w:highlight w:val="none"/>
                <w:lang w:val="en-US" w:eastAsia="zh-CN"/>
              </w:rPr>
              <w:t>八、付款方式</w:t>
            </w:r>
          </w:p>
          <w:p>
            <w:pPr>
              <w:tabs>
                <w:tab w:val="left" w:pos="720"/>
              </w:tabs>
              <w:spacing w:line="360" w:lineRule="auto"/>
              <w:ind w:firstLine="420" w:firstLineChars="200"/>
              <w:rPr>
                <w:rFonts w:hint="eastAsia" w:ascii="宋体" w:hAnsi="宋体"/>
                <w:highlight w:val="none"/>
                <w:lang w:val="en-US" w:eastAsia="zh-CN"/>
              </w:rPr>
            </w:pPr>
            <w:r>
              <w:rPr>
                <w:rFonts w:hint="eastAsia" w:ascii="宋体" w:hAnsi="宋体"/>
                <w:highlight w:val="none"/>
                <w:lang w:val="en-US" w:eastAsia="zh-CN"/>
              </w:rPr>
              <w:t>设备安装调试完毕经协议规定的验收人员书面确认验收合格后，成交供应商开具全额普通发票，采购人付合同总额的95%。合同总金额的5%的款项作为售后服务保证金，设备验收合格质保期满后一次性无息退还。</w:t>
            </w:r>
          </w:p>
          <w:p>
            <w:pPr>
              <w:autoSpaceDE/>
              <w:snapToGrid w:val="0"/>
              <w:spacing w:line="360" w:lineRule="auto"/>
              <w:jc w:val="both"/>
              <w:rPr>
                <w:rFonts w:ascii="宋体" w:hAnsi="宋体" w:cs="宋体"/>
                <w:b/>
                <w:sz w:val="21"/>
                <w:szCs w:val="21"/>
                <w:highlight w:val="none"/>
              </w:rPr>
            </w:pPr>
            <w:r>
              <w:rPr>
                <w:rFonts w:hint="eastAsia" w:ascii="宋体" w:hAnsi="宋体" w:cs="宋体"/>
                <w:b/>
                <w:sz w:val="21"/>
                <w:szCs w:val="21"/>
                <w:highlight w:val="none"/>
                <w:lang w:val="en-US" w:eastAsia="zh-CN"/>
              </w:rPr>
              <w:t>九、</w:t>
            </w:r>
            <w:r>
              <w:rPr>
                <w:rFonts w:hint="eastAsia" w:ascii="宋体" w:hAnsi="宋体" w:cs="宋体"/>
                <w:b/>
                <w:sz w:val="21"/>
                <w:szCs w:val="21"/>
                <w:highlight w:val="none"/>
              </w:rPr>
              <w:t>违约责任与赔偿损失</w:t>
            </w:r>
          </w:p>
          <w:p>
            <w:pPr>
              <w:tabs>
                <w:tab w:val="left" w:pos="720"/>
              </w:tabs>
              <w:spacing w:line="360" w:lineRule="auto"/>
              <w:ind w:firstLine="420" w:firstLineChars="200"/>
              <w:rPr>
                <w:rFonts w:hint="eastAsia" w:ascii="宋体" w:hAnsi="宋体"/>
                <w:highlight w:val="none"/>
                <w:lang w:val="en-US" w:eastAsia="zh-CN"/>
              </w:rPr>
            </w:pPr>
            <w:r>
              <w:rPr>
                <w:rFonts w:hint="eastAsia" w:ascii="宋体" w:hAnsi="宋体"/>
                <w:highlight w:val="none"/>
                <w:lang w:val="en-US" w:eastAsia="zh-CN"/>
              </w:rPr>
              <w:t>1.成交供应商未按时交货违约时，每延误一天按所延误货品价值的5‰向采购人交付违约金，若延误超过30天，采购人有权取消合同，成交供应商应按照货款总金额的30%向采购人支付违约金，并由此引起的经济损失由成交供应商承担。</w:t>
            </w:r>
          </w:p>
          <w:p>
            <w:pPr>
              <w:tabs>
                <w:tab w:val="left" w:pos="720"/>
              </w:tabs>
              <w:spacing w:line="360" w:lineRule="auto"/>
              <w:ind w:firstLine="420" w:firstLineChars="200"/>
              <w:rPr>
                <w:rFonts w:hint="eastAsia" w:ascii="宋体" w:hAnsi="宋体"/>
                <w:highlight w:val="none"/>
                <w:lang w:val="en-US" w:eastAsia="zh-CN"/>
              </w:rPr>
            </w:pPr>
            <w:r>
              <w:rPr>
                <w:rFonts w:hint="eastAsia" w:ascii="宋体" w:hAnsi="宋体"/>
                <w:highlight w:val="none"/>
                <w:lang w:val="en-US" w:eastAsia="zh-CN"/>
              </w:rPr>
              <w:t>2.采购人因自身原因改变所订产品违约而导致成交供应商无法按时交货的，所造成的经济损失由采购人负责。</w:t>
            </w:r>
          </w:p>
          <w:p>
            <w:pPr>
              <w:tabs>
                <w:tab w:val="left" w:pos="720"/>
              </w:tabs>
              <w:spacing w:line="360" w:lineRule="auto"/>
              <w:ind w:firstLine="420" w:firstLineChars="200"/>
              <w:rPr>
                <w:rFonts w:ascii="宋体" w:hAnsi="宋体"/>
                <w:sz w:val="21"/>
                <w:szCs w:val="21"/>
                <w:highlight w:val="none"/>
              </w:rPr>
            </w:pPr>
            <w:r>
              <w:rPr>
                <w:rFonts w:hint="eastAsia" w:ascii="宋体" w:hAnsi="宋体"/>
                <w:highlight w:val="none"/>
                <w:lang w:val="en-US" w:eastAsia="zh-CN"/>
              </w:rPr>
              <w:t>3.成交供应商无故放弃成交资格的，向采购人支付成交总额的5%的违约金；成交公告公示后7个工作日内，成交供应商不签合同的，向采购人支付成交价的5%的违约金。</w:t>
            </w:r>
          </w:p>
        </w:tc>
      </w:tr>
    </w:tbl>
    <w:p>
      <w:pPr>
        <w:spacing w:line="440" w:lineRule="exact"/>
        <w:rPr>
          <w:rFonts w:ascii="黑体" w:hAnsi="黑体" w:eastAsia="黑体"/>
          <w:b/>
          <w:color w:val="000000" w:themeColor="text1"/>
          <w:sz w:val="44"/>
          <w:szCs w:val="44"/>
          <w14:textFill>
            <w14:solidFill>
              <w14:schemeClr w14:val="tx1"/>
            </w14:solidFill>
          </w14:textFill>
        </w:rPr>
      </w:pPr>
      <w:bookmarkStart w:id="0" w:name="_GoBack"/>
      <w:bookmarkEnd w:id="0"/>
    </w:p>
    <w:sectPr>
      <w:headerReference r:id="rId4" w:type="first"/>
      <w:headerReference r:id="rId3" w:type="default"/>
      <w:pgSz w:w="11906" w:h="16838"/>
      <w:pgMar w:top="1440" w:right="1797" w:bottom="873"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黑体" w:hAnsi="黑体" w:eastAsia="黑体"/>
        <w:sz w:val="28"/>
        <w:szCs w:val="28"/>
        <w:u w:val="single"/>
      </w:rPr>
      <w:t>小榄人民医院采购需求书《B类》</w:t>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黑体" w:hAnsi="黑体" w:eastAsia="黑体"/>
        <w:sz w:val="28"/>
        <w:szCs w:val="28"/>
        <w:u w:val="single"/>
      </w:rPr>
      <w:t>小榄人民医院采购需求书《B类》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OTg3NzVhMDZmMDNlZWIxMzI1YTIyODJjZmZlMGUifQ=="/>
  </w:docVars>
  <w:rsids>
    <w:rsidRoot w:val="62D20299"/>
    <w:rsid w:val="00001A90"/>
    <w:rsid w:val="00005147"/>
    <w:rsid w:val="00056719"/>
    <w:rsid w:val="00075637"/>
    <w:rsid w:val="000A41EB"/>
    <w:rsid w:val="000D2B79"/>
    <w:rsid w:val="000D4F36"/>
    <w:rsid w:val="000E0752"/>
    <w:rsid w:val="00100822"/>
    <w:rsid w:val="00103399"/>
    <w:rsid w:val="00104771"/>
    <w:rsid w:val="00114ACC"/>
    <w:rsid w:val="001213D3"/>
    <w:rsid w:val="0012618A"/>
    <w:rsid w:val="00146204"/>
    <w:rsid w:val="00171134"/>
    <w:rsid w:val="001A72D2"/>
    <w:rsid w:val="001B69DF"/>
    <w:rsid w:val="00225C1D"/>
    <w:rsid w:val="00242798"/>
    <w:rsid w:val="002605DF"/>
    <w:rsid w:val="00264928"/>
    <w:rsid w:val="00274E64"/>
    <w:rsid w:val="002943CF"/>
    <w:rsid w:val="002A74B3"/>
    <w:rsid w:val="002C4BC7"/>
    <w:rsid w:val="002D5E50"/>
    <w:rsid w:val="002F150C"/>
    <w:rsid w:val="00311469"/>
    <w:rsid w:val="003169B9"/>
    <w:rsid w:val="003864BF"/>
    <w:rsid w:val="00395879"/>
    <w:rsid w:val="003A3C15"/>
    <w:rsid w:val="003D0982"/>
    <w:rsid w:val="003E3ABD"/>
    <w:rsid w:val="003E598C"/>
    <w:rsid w:val="003F7358"/>
    <w:rsid w:val="004029A7"/>
    <w:rsid w:val="00414DE8"/>
    <w:rsid w:val="00422ED9"/>
    <w:rsid w:val="00443A82"/>
    <w:rsid w:val="0047073F"/>
    <w:rsid w:val="0047407A"/>
    <w:rsid w:val="004C7C6F"/>
    <w:rsid w:val="004D1D03"/>
    <w:rsid w:val="0050571B"/>
    <w:rsid w:val="00565534"/>
    <w:rsid w:val="00580BDC"/>
    <w:rsid w:val="00614258"/>
    <w:rsid w:val="0063522D"/>
    <w:rsid w:val="006751AD"/>
    <w:rsid w:val="00676823"/>
    <w:rsid w:val="006B70A0"/>
    <w:rsid w:val="006D09DE"/>
    <w:rsid w:val="006E1F61"/>
    <w:rsid w:val="006E51F2"/>
    <w:rsid w:val="006F0B1A"/>
    <w:rsid w:val="007070F7"/>
    <w:rsid w:val="0072215F"/>
    <w:rsid w:val="0075757F"/>
    <w:rsid w:val="0076196C"/>
    <w:rsid w:val="00765AA9"/>
    <w:rsid w:val="007667DA"/>
    <w:rsid w:val="007A1EBF"/>
    <w:rsid w:val="007B284D"/>
    <w:rsid w:val="007C57D0"/>
    <w:rsid w:val="007D6D63"/>
    <w:rsid w:val="007E085C"/>
    <w:rsid w:val="007F4D4C"/>
    <w:rsid w:val="00807037"/>
    <w:rsid w:val="00810BA7"/>
    <w:rsid w:val="00813FB5"/>
    <w:rsid w:val="00833CFC"/>
    <w:rsid w:val="00841F5E"/>
    <w:rsid w:val="008C3806"/>
    <w:rsid w:val="008D08E7"/>
    <w:rsid w:val="008D5F17"/>
    <w:rsid w:val="008E3BF6"/>
    <w:rsid w:val="0091162F"/>
    <w:rsid w:val="00924EFA"/>
    <w:rsid w:val="009531BB"/>
    <w:rsid w:val="00966A5F"/>
    <w:rsid w:val="00975F6E"/>
    <w:rsid w:val="009D272C"/>
    <w:rsid w:val="009F0CE5"/>
    <w:rsid w:val="00A3332B"/>
    <w:rsid w:val="00A5108C"/>
    <w:rsid w:val="00A707A6"/>
    <w:rsid w:val="00A8361D"/>
    <w:rsid w:val="00A9618A"/>
    <w:rsid w:val="00AD353B"/>
    <w:rsid w:val="00B16008"/>
    <w:rsid w:val="00B16E08"/>
    <w:rsid w:val="00B375A3"/>
    <w:rsid w:val="00B42129"/>
    <w:rsid w:val="00B77686"/>
    <w:rsid w:val="00C1058B"/>
    <w:rsid w:val="00C1265C"/>
    <w:rsid w:val="00C23789"/>
    <w:rsid w:val="00C261BE"/>
    <w:rsid w:val="00C31392"/>
    <w:rsid w:val="00C96BF6"/>
    <w:rsid w:val="00CA0710"/>
    <w:rsid w:val="00D164C4"/>
    <w:rsid w:val="00D227FB"/>
    <w:rsid w:val="00D532AF"/>
    <w:rsid w:val="00D54E76"/>
    <w:rsid w:val="00DB54F1"/>
    <w:rsid w:val="00DE1DC0"/>
    <w:rsid w:val="00E10EE7"/>
    <w:rsid w:val="00E6355B"/>
    <w:rsid w:val="00E73602"/>
    <w:rsid w:val="00E73B5E"/>
    <w:rsid w:val="00E745AA"/>
    <w:rsid w:val="00E832A1"/>
    <w:rsid w:val="00E9064E"/>
    <w:rsid w:val="00EA4E46"/>
    <w:rsid w:val="00ED6DAA"/>
    <w:rsid w:val="00F106EC"/>
    <w:rsid w:val="00F611D5"/>
    <w:rsid w:val="00F65A47"/>
    <w:rsid w:val="00F70BB0"/>
    <w:rsid w:val="00F7247F"/>
    <w:rsid w:val="00F7492E"/>
    <w:rsid w:val="00F94FD1"/>
    <w:rsid w:val="00FA0E58"/>
    <w:rsid w:val="09F2601F"/>
    <w:rsid w:val="0BD332FE"/>
    <w:rsid w:val="0D9D0A9D"/>
    <w:rsid w:val="0DA133B8"/>
    <w:rsid w:val="0E81197A"/>
    <w:rsid w:val="0F8E7FDC"/>
    <w:rsid w:val="0FAF6649"/>
    <w:rsid w:val="12503204"/>
    <w:rsid w:val="1BA877C1"/>
    <w:rsid w:val="1BAF6547"/>
    <w:rsid w:val="1C401D6A"/>
    <w:rsid w:val="20801361"/>
    <w:rsid w:val="20B70F80"/>
    <w:rsid w:val="212A5145"/>
    <w:rsid w:val="23776C32"/>
    <w:rsid w:val="24EB77A6"/>
    <w:rsid w:val="28AA5181"/>
    <w:rsid w:val="299E754F"/>
    <w:rsid w:val="2A71380B"/>
    <w:rsid w:val="2A837C2C"/>
    <w:rsid w:val="2DEF5B86"/>
    <w:rsid w:val="2E5B425C"/>
    <w:rsid w:val="2F54617D"/>
    <w:rsid w:val="3071413F"/>
    <w:rsid w:val="32642E31"/>
    <w:rsid w:val="35C7355D"/>
    <w:rsid w:val="38A55C91"/>
    <w:rsid w:val="3A6C66C9"/>
    <w:rsid w:val="3C3A19B6"/>
    <w:rsid w:val="41C20AA1"/>
    <w:rsid w:val="42E34584"/>
    <w:rsid w:val="46327D3C"/>
    <w:rsid w:val="46680BDC"/>
    <w:rsid w:val="47D40B10"/>
    <w:rsid w:val="48C040E8"/>
    <w:rsid w:val="49C64B7C"/>
    <w:rsid w:val="4C7A0884"/>
    <w:rsid w:val="4EBD63D3"/>
    <w:rsid w:val="50A35028"/>
    <w:rsid w:val="51901951"/>
    <w:rsid w:val="543E7CE1"/>
    <w:rsid w:val="556070C8"/>
    <w:rsid w:val="60552555"/>
    <w:rsid w:val="62D20299"/>
    <w:rsid w:val="65DC02C9"/>
    <w:rsid w:val="696266A8"/>
    <w:rsid w:val="69D976CD"/>
    <w:rsid w:val="6AF21729"/>
    <w:rsid w:val="6CB17DF5"/>
    <w:rsid w:val="6E7C504D"/>
    <w:rsid w:val="6EDA0444"/>
    <w:rsid w:val="713D1D5C"/>
    <w:rsid w:val="716F3968"/>
    <w:rsid w:val="76920811"/>
    <w:rsid w:val="77931961"/>
    <w:rsid w:val="77A53D73"/>
    <w:rsid w:val="79BE0F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rPr>
      <w:rFonts w:ascii="宋体" w:hAnsi="宋体" w:eastAsia="宋体" w:cs="宋体"/>
      <w:b/>
      <w:bCs/>
      <w:sz w:val="24"/>
      <w:szCs w:val="24"/>
      <w:lang w:val="zh-CN" w:eastAsia="zh-CN" w:bidi="zh-CN"/>
    </w:rPr>
  </w:style>
  <w:style w:type="paragraph" w:styleId="3">
    <w:name w:val="toc 5"/>
    <w:basedOn w:val="1"/>
    <w:next w:val="1"/>
    <w:semiHidden/>
    <w:qFormat/>
    <w:uiPriority w:val="0"/>
    <w:pPr>
      <w:autoSpaceDE/>
      <w:autoSpaceDN/>
      <w:adjustRightInd/>
      <w:spacing w:line="360" w:lineRule="auto"/>
      <w:ind w:left="840" w:firstLine="200" w:firstLineChars="200"/>
    </w:pPr>
    <w:rPr>
      <w:kern w:val="2"/>
      <w:sz w:val="21"/>
      <w:szCs w:val="21"/>
    </w:rPr>
  </w:style>
  <w:style w:type="paragraph" w:styleId="4">
    <w:name w:val="Normal Indent"/>
    <w:basedOn w:val="1"/>
    <w:qFormat/>
    <w:uiPriority w:val="0"/>
    <w:pPr>
      <w:spacing w:line="360" w:lineRule="auto"/>
      <w:ind w:firstLine="420"/>
    </w:pPr>
    <w:rPr>
      <w:rFonts w:ascii="宋体"/>
    </w:rPr>
  </w:style>
  <w:style w:type="paragraph" w:styleId="5">
    <w:name w:val="annotation text"/>
    <w:basedOn w:val="1"/>
    <w:unhideWhenUsed/>
    <w:qFormat/>
    <w:uiPriority w:val="99"/>
    <w:pPr>
      <w:jc w:val="left"/>
    </w:pPr>
  </w:style>
  <w:style w:type="paragraph" w:styleId="6">
    <w:name w:val="Body Text Indent"/>
    <w:basedOn w:val="1"/>
    <w:link w:val="20"/>
    <w:qFormat/>
    <w:uiPriority w:val="0"/>
    <w:pPr>
      <w:spacing w:line="560" w:lineRule="exact"/>
      <w:ind w:left="300"/>
    </w:pPr>
    <w:rPr>
      <w:rFonts w:ascii="Times New Roman" w:hAnsi="Times New Roman" w:eastAsia="宋体" w:cs="Times New Roman"/>
      <w:sz w:val="24"/>
    </w:rPr>
  </w:style>
  <w:style w:type="paragraph" w:styleId="7">
    <w:name w:val="Plain Text"/>
    <w:basedOn w:val="1"/>
    <w:link w:val="19"/>
    <w:qFormat/>
    <w:uiPriority w:val="0"/>
    <w:rPr>
      <w:rFonts w:ascii="宋体" w:hAnsi="Courier New" w:cs="Courier New"/>
      <w:kern w:val="0"/>
      <w:sz w:val="20"/>
      <w:szCs w:val="21"/>
    </w:rPr>
  </w:style>
  <w:style w:type="paragraph" w:styleId="8">
    <w:name w:val="Balloon Text"/>
    <w:basedOn w:val="1"/>
    <w:link w:val="16"/>
    <w:qFormat/>
    <w:uiPriority w:val="0"/>
    <w:rPr>
      <w:sz w:val="18"/>
      <w:szCs w:val="18"/>
    </w:rPr>
  </w:style>
  <w:style w:type="paragraph" w:styleId="9">
    <w:name w:val="footer"/>
    <w:basedOn w:val="1"/>
    <w:link w:val="15"/>
    <w:qFormat/>
    <w:uiPriority w:val="99"/>
    <w:pPr>
      <w:tabs>
        <w:tab w:val="center" w:pos="4153"/>
        <w:tab w:val="right" w:pos="8306"/>
      </w:tabs>
      <w:snapToGrid w:val="0"/>
      <w:jc w:val="left"/>
    </w:pPr>
    <w:rPr>
      <w:sz w:val="18"/>
    </w:rPr>
  </w:style>
  <w:style w:type="paragraph" w:styleId="10">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Body text|1"/>
    <w:basedOn w:val="1"/>
    <w:qFormat/>
    <w:uiPriority w:val="0"/>
    <w:pPr>
      <w:spacing w:line="422" w:lineRule="auto"/>
      <w:ind w:firstLine="360"/>
    </w:pPr>
    <w:rPr>
      <w:rFonts w:ascii="宋体" w:hAnsi="宋体" w:eastAsia="宋体" w:cs="宋体"/>
      <w:sz w:val="18"/>
      <w:szCs w:val="18"/>
      <w:lang w:val="zh-TW" w:eastAsia="zh-TW" w:bidi="zh-TW"/>
    </w:rPr>
  </w:style>
  <w:style w:type="character" w:customStyle="1" w:styleId="15">
    <w:name w:val="页脚 Char"/>
    <w:basedOn w:val="13"/>
    <w:link w:val="9"/>
    <w:qFormat/>
    <w:uiPriority w:val="99"/>
    <w:rPr>
      <w:kern w:val="2"/>
      <w:sz w:val="18"/>
      <w:szCs w:val="24"/>
    </w:rPr>
  </w:style>
  <w:style w:type="character" w:customStyle="1" w:styleId="16">
    <w:name w:val="批注框文本 Char"/>
    <w:basedOn w:val="13"/>
    <w:link w:val="8"/>
    <w:qFormat/>
    <w:uiPriority w:val="0"/>
    <w:rPr>
      <w:kern w:val="2"/>
      <w:sz w:val="18"/>
      <w:szCs w:val="18"/>
    </w:rPr>
  </w:style>
  <w:style w:type="character" w:customStyle="1" w:styleId="17">
    <w:name w:val="页眉 Char"/>
    <w:basedOn w:val="13"/>
    <w:link w:val="10"/>
    <w:qFormat/>
    <w:uiPriority w:val="99"/>
    <w:rPr>
      <w:kern w:val="2"/>
      <w:sz w:val="18"/>
      <w:szCs w:val="24"/>
    </w:rPr>
  </w:style>
  <w:style w:type="character" w:customStyle="1" w:styleId="18">
    <w:name w:val="纯文本 Char"/>
    <w:link w:val="7"/>
    <w:qFormat/>
    <w:uiPriority w:val="0"/>
    <w:rPr>
      <w:rFonts w:ascii="宋体" w:hAnsi="Courier New" w:cs="Courier New"/>
      <w:szCs w:val="21"/>
    </w:rPr>
  </w:style>
  <w:style w:type="character" w:customStyle="1" w:styleId="19">
    <w:name w:val="纯文本 Char1"/>
    <w:basedOn w:val="13"/>
    <w:link w:val="7"/>
    <w:semiHidden/>
    <w:qFormat/>
    <w:uiPriority w:val="0"/>
    <w:rPr>
      <w:rFonts w:ascii="宋体" w:hAnsi="Courier New" w:eastAsia="宋体" w:cs="Courier New"/>
      <w:kern w:val="2"/>
      <w:sz w:val="21"/>
      <w:szCs w:val="21"/>
    </w:rPr>
  </w:style>
  <w:style w:type="character" w:customStyle="1" w:styleId="20">
    <w:name w:val="正文文本缩进 Char"/>
    <w:basedOn w:val="13"/>
    <w:link w:val="6"/>
    <w:qFormat/>
    <w:uiPriority w:val="0"/>
    <w:rPr>
      <w:rFonts w:ascii="Times New Roman" w:hAnsi="Times New Roman" w:eastAsia="宋体" w:cs="Times New Roman"/>
      <w:kern w:val="2"/>
      <w:sz w:val="24"/>
      <w:szCs w:val="24"/>
    </w:rPr>
  </w:style>
  <w:style w:type="paragraph" w:customStyle="1" w:styleId="21">
    <w:name w:val="List Paragraph"/>
    <w:basedOn w:val="1"/>
    <w:qFormat/>
    <w:uiPriority w:val="34"/>
    <w:pPr>
      <w:ind w:firstLine="420" w:firstLineChars="200"/>
    </w:pPr>
    <w:rPr>
      <w:rFonts w:ascii="Times New Roman" w:hAnsi="Times New Roman" w:eastAsia="宋体" w:cs="Times New Roman"/>
    </w:rPr>
  </w:style>
  <w:style w:type="paragraph" w:customStyle="1" w:styleId="2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8776F-D12F-401A-B33F-A03288CEC921}">
  <ds:schemaRefs/>
</ds:datastoreItem>
</file>

<file path=docProps/app.xml><?xml version="1.0" encoding="utf-8"?>
<Properties xmlns="http://schemas.openxmlformats.org/officeDocument/2006/extended-properties" xmlns:vt="http://schemas.openxmlformats.org/officeDocument/2006/docPropsVTypes">
  <Template>Normal</Template>
  <Pages>4</Pages>
  <Words>2447</Words>
  <Characters>2610</Characters>
  <Lines>47</Lines>
  <Paragraphs>13</Paragraphs>
  <TotalTime>2</TotalTime>
  <ScaleCrop>false</ScaleCrop>
  <LinksUpToDate>false</LinksUpToDate>
  <CharactersWithSpaces>2703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2021-06-04T00:51:00Z</dcterms:created>
  <dc:creator>采购部</dc:creator>
  <cp:lastModifiedBy>WPS_1474984621</cp:lastModifiedBy>
  <cp:lastPrinted>2021-06-05T02:44:00Z</cp:lastPrinted>
  <dcterms:modified xsi:type="dcterms:W3CDTF">2022-07-08T01:59:52Z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F2428C8EF7EA4746B3D525AD648E3AA3</vt:lpwstr>
  </property>
</Properties>
</file>