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b/>
          <w:color w:val="000000" w:themeColor="text1"/>
          <w:kern w:val="28"/>
          <w:sz w:val="36"/>
          <w:szCs w:val="36"/>
        </w:rPr>
      </w:pPr>
      <w:r>
        <w:rPr>
          <w:rFonts w:hint="eastAsia" w:ascii="宋体" w:hAnsi="宋体"/>
          <w:b/>
          <w:color w:val="000000" w:themeColor="text1"/>
          <w:kern w:val="28"/>
          <w:sz w:val="36"/>
          <w:szCs w:val="36"/>
        </w:rPr>
        <w:t>附件一、《防火墙维保服务》</w:t>
      </w:r>
    </w:p>
    <w:p>
      <w:pPr>
        <w:jc w:val="center"/>
        <w:rPr>
          <w:rFonts w:ascii="宋体" w:hAnsi="宋体"/>
          <w:b/>
          <w:color w:val="000000" w:themeColor="text1"/>
          <w:kern w:val="28"/>
          <w:sz w:val="44"/>
          <w:szCs w:val="36"/>
        </w:rPr>
      </w:pPr>
      <w:r>
        <w:rPr>
          <w:rFonts w:hint="eastAsia" w:ascii="宋体" w:hAnsi="宋体"/>
          <w:b/>
          <w:color w:val="000000" w:themeColor="text1"/>
          <w:kern w:val="28"/>
          <w:sz w:val="44"/>
          <w:szCs w:val="36"/>
        </w:rPr>
        <w:t>采购</w:t>
      </w:r>
      <w:r>
        <w:rPr>
          <w:rFonts w:ascii="宋体" w:hAnsi="宋体"/>
          <w:b/>
          <w:color w:val="000000" w:themeColor="text1"/>
          <w:kern w:val="28"/>
          <w:sz w:val="44"/>
          <w:szCs w:val="36"/>
        </w:rPr>
        <w:t>需求书</w:t>
      </w:r>
    </w:p>
    <w:p>
      <w:pPr>
        <w:numPr>
          <w:ilvl w:val="0"/>
          <w:numId w:val="1"/>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总则：</w:t>
      </w:r>
    </w:p>
    <w:p>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投标供应商报价应包括标的设备（原装、全新合格的设备）、相关附件、配套设施、税费、运费、保险费、仓储费、安装调试、培训、质保等的全部费用，在项目实施过程中出现报价内容的任何遗漏，均由成交供应商负责相关费用，采购人将不再支付任何费用。</w:t>
      </w:r>
    </w:p>
    <w:p>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招标文件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3.本项目不接受联合体、成交供应商不得以任何方式转包本项目。</w:t>
      </w:r>
    </w:p>
    <w:p>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4.单位负责人为同一人或者存在直接控股、关联关系的不同投标人，不得参加同一合同项下的招标活动。</w:t>
      </w:r>
    </w:p>
    <w:p>
      <w:pPr>
        <w:spacing w:line="440" w:lineRule="exact"/>
        <w:rPr>
          <w:rFonts w:ascii="仿宋" w:hAnsi="仿宋" w:eastAsia="仿宋" w:cs="仿宋"/>
          <w:color w:val="000000" w:themeColor="text1"/>
          <w:sz w:val="24"/>
        </w:rPr>
      </w:pPr>
    </w:p>
    <w:p>
      <w:pPr>
        <w:numPr>
          <w:ilvl w:val="0"/>
          <w:numId w:val="1"/>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基本需求</w:t>
      </w:r>
    </w:p>
    <w:tbl>
      <w:tblPr>
        <w:tblStyle w:val="10"/>
        <w:tblW w:w="82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01"/>
        <w:gridCol w:w="2609"/>
        <w:gridCol w:w="2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310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仿宋" w:hAnsi="仿宋" w:eastAsia="仿宋" w:cs="Times New Roman"/>
                <w:color w:val="000000"/>
                <w:sz w:val="24"/>
              </w:rPr>
            </w:pPr>
            <w:r>
              <w:rPr>
                <w:rFonts w:hint="eastAsia" w:ascii="仿宋" w:hAnsi="仿宋" w:eastAsia="仿宋" w:cs="Times New Roman"/>
                <w:color w:val="000000"/>
                <w:sz w:val="24"/>
              </w:rPr>
              <w:t>项目名称</w:t>
            </w:r>
          </w:p>
        </w:tc>
        <w:tc>
          <w:tcPr>
            <w:tcW w:w="260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仿宋" w:hAnsi="仿宋" w:eastAsia="仿宋" w:cs="Times New Roman"/>
                <w:color w:val="000000"/>
                <w:sz w:val="24"/>
              </w:rPr>
            </w:pPr>
            <w:r>
              <w:rPr>
                <w:rFonts w:hint="eastAsia" w:ascii="仿宋" w:hAnsi="仿宋" w:eastAsia="仿宋" w:cs="Times New Roman"/>
                <w:color w:val="000000"/>
                <w:sz w:val="24"/>
              </w:rPr>
              <w:t>需求科室/部门</w:t>
            </w:r>
          </w:p>
        </w:tc>
        <w:tc>
          <w:tcPr>
            <w:tcW w:w="25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仿宋" w:hAnsi="仿宋" w:eastAsia="仿宋" w:cs="Times New Roman"/>
                <w:color w:val="000000"/>
                <w:sz w:val="24"/>
              </w:rPr>
            </w:pPr>
            <w:r>
              <w:rPr>
                <w:rFonts w:hint="eastAsia" w:ascii="仿宋" w:hAnsi="仿宋" w:eastAsia="仿宋" w:cs="Times New Roman"/>
                <w:color w:val="000000"/>
                <w:sz w:val="24"/>
              </w:rPr>
              <w:t>服务期限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310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仿宋" w:hAnsi="仿宋" w:eastAsia="仿宋" w:cs="Times New Roman"/>
                <w:color w:val="000000"/>
                <w:sz w:val="24"/>
              </w:rPr>
            </w:pPr>
            <w:r>
              <w:rPr>
                <w:rFonts w:hint="eastAsia" w:ascii="仿宋" w:hAnsi="仿宋" w:eastAsia="仿宋" w:cs="Times New Roman"/>
                <w:color w:val="000000"/>
                <w:sz w:val="24"/>
              </w:rPr>
              <w:t>防火墙维保服务</w:t>
            </w:r>
          </w:p>
        </w:tc>
        <w:tc>
          <w:tcPr>
            <w:tcW w:w="260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仿宋" w:hAnsi="仿宋" w:eastAsia="仿宋" w:cs="Times New Roman"/>
                <w:color w:val="000000"/>
                <w:sz w:val="24"/>
              </w:rPr>
            </w:pPr>
            <w:r>
              <w:rPr>
                <w:rFonts w:hint="eastAsia" w:ascii="仿宋" w:hAnsi="仿宋" w:eastAsia="仿宋" w:cs="Times New Roman"/>
                <w:color w:val="000000"/>
                <w:sz w:val="24"/>
              </w:rPr>
              <w:t>信息科</w:t>
            </w:r>
          </w:p>
        </w:tc>
        <w:tc>
          <w:tcPr>
            <w:tcW w:w="25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仿宋" w:hAnsi="仿宋" w:eastAsia="仿宋" w:cs="Times New Roman"/>
                <w:color w:val="000000"/>
                <w:sz w:val="24"/>
              </w:rPr>
            </w:pPr>
            <w:r>
              <w:rPr>
                <w:rFonts w:hint="eastAsia" w:ascii="仿宋" w:hAnsi="仿宋" w:eastAsia="仿宋" w:cs="Times New Roman"/>
                <w:color w:val="000000"/>
                <w:sz w:val="24"/>
              </w:rPr>
              <w:t>1年</w:t>
            </w:r>
          </w:p>
        </w:tc>
      </w:tr>
    </w:tbl>
    <w:p>
      <w:pPr>
        <w:spacing w:line="440" w:lineRule="exact"/>
        <w:rPr>
          <w:rFonts w:ascii="仿宋" w:hAnsi="仿宋" w:eastAsia="仿宋" w:cs="仿宋"/>
          <w:color w:val="000000" w:themeColor="text1"/>
          <w:sz w:val="24"/>
        </w:rPr>
      </w:pPr>
      <w:r>
        <w:rPr>
          <w:rFonts w:ascii="仿宋" w:hAnsi="仿宋" w:eastAsia="仿宋" w:cs="仿宋"/>
          <w:color w:val="000000" w:themeColor="text1"/>
          <w:sz w:val="24"/>
        </w:rPr>
        <w:t>1.</w:t>
      </w:r>
      <w:r>
        <w:rPr>
          <w:rFonts w:hint="eastAsia" w:ascii="仿宋" w:hAnsi="仿宋" w:eastAsia="仿宋" w:cs="仿宋"/>
          <w:color w:val="000000" w:themeColor="text1"/>
          <w:sz w:val="24"/>
        </w:rPr>
        <w:t>维护服务地点：中山市小榄人民医院；</w:t>
      </w:r>
    </w:p>
    <w:p>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w:t>
      </w:r>
      <w:r>
        <w:rPr>
          <w:rFonts w:ascii="仿宋" w:hAnsi="仿宋" w:eastAsia="仿宋" w:cs="仿宋"/>
          <w:color w:val="000000" w:themeColor="text1"/>
          <w:sz w:val="24"/>
        </w:rPr>
        <w:t>.</w:t>
      </w:r>
      <w:r>
        <w:rPr>
          <w:rFonts w:hint="eastAsia" w:ascii="仿宋" w:hAnsi="仿宋" w:eastAsia="仿宋" w:cs="仿宋"/>
          <w:color w:val="000000" w:themeColor="text1"/>
          <w:sz w:val="24"/>
        </w:rPr>
        <w:t>维护服务生效时间：自合同签订日起5个工作日内正式生效，成交供应商提供设备维护服务；</w:t>
      </w:r>
    </w:p>
    <w:p>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 xml:space="preserve">3.维护服务期限：2022年11月10日至2023年11月9日； </w:t>
      </w:r>
    </w:p>
    <w:p>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4</w:t>
      </w:r>
      <w:r>
        <w:rPr>
          <w:rFonts w:ascii="仿宋" w:hAnsi="仿宋" w:eastAsia="仿宋" w:cs="仿宋"/>
          <w:color w:val="000000" w:themeColor="text1"/>
          <w:sz w:val="24"/>
        </w:rPr>
        <w:t>.</w:t>
      </w:r>
      <w:r>
        <w:rPr>
          <w:rFonts w:hint="eastAsia" w:ascii="仿宋" w:hAnsi="仿宋" w:eastAsia="仿宋" w:cs="仿宋"/>
          <w:color w:val="000000" w:themeColor="text1"/>
          <w:sz w:val="24"/>
        </w:rPr>
        <w:t>★维护服务期限内，成交供应商确保维护设备功能完整，包括但不限于：一般更新、入侵防御，反病毒，突发防护；</w:t>
      </w:r>
    </w:p>
    <w:p>
      <w:pPr>
        <w:spacing w:line="440" w:lineRule="exact"/>
        <w:rPr>
          <w:rFonts w:ascii="仿宋" w:hAnsi="仿宋" w:eastAsia="仿宋" w:cs="仿宋"/>
          <w:color w:val="000000" w:themeColor="text1"/>
          <w:sz w:val="24"/>
        </w:rPr>
      </w:pPr>
      <w:r>
        <w:rPr>
          <w:rFonts w:ascii="仿宋" w:hAnsi="仿宋" w:eastAsia="仿宋" w:cs="仿宋"/>
          <w:color w:val="000000" w:themeColor="text1"/>
          <w:sz w:val="24"/>
        </w:rPr>
        <w:t>5.</w:t>
      </w:r>
      <w:r>
        <w:rPr>
          <w:rFonts w:hint="eastAsia" w:ascii="仿宋" w:hAnsi="仿宋" w:eastAsia="仿宋" w:cs="仿宋"/>
          <w:color w:val="000000" w:themeColor="text1"/>
          <w:sz w:val="24"/>
        </w:rPr>
        <w:t>成交供应商为本项目提供一切现场服务时，须派遣有相关资质的技术人员执行服务，且须在服务开展前向采购人提供技术人员资质证明。现场服务包括但不限于月度设备硬件健康状态检查、设备故障问题处理、故障处理后的现场值守；</w:t>
      </w:r>
    </w:p>
    <w:p>
      <w:pPr>
        <w:spacing w:line="440" w:lineRule="exact"/>
        <w:rPr>
          <w:rFonts w:ascii="仿宋" w:hAnsi="仿宋" w:eastAsia="仿宋" w:cs="仿宋"/>
          <w:color w:val="000000" w:themeColor="text1"/>
          <w:sz w:val="24"/>
        </w:rPr>
      </w:pPr>
      <w:r>
        <w:rPr>
          <w:rFonts w:ascii="仿宋" w:hAnsi="仿宋" w:eastAsia="仿宋" w:cs="仿宋"/>
          <w:color w:val="000000" w:themeColor="text1"/>
          <w:sz w:val="24"/>
        </w:rPr>
        <w:t>6.</w:t>
      </w:r>
      <w:r>
        <w:rPr>
          <w:rFonts w:hint="eastAsia" w:ascii="仿宋" w:hAnsi="仿宋" w:eastAsia="仿宋" w:cs="仿宋"/>
          <w:color w:val="000000" w:themeColor="text1"/>
          <w:sz w:val="24"/>
        </w:rPr>
        <w:t>★维护服务验收方案：维护期内，成交供应商必须每季度进行至少一次设备硬件健康状态现场检查，对本项目维护清单范围内所有设备进行硬件状态检查与记录，并输出《季度防火墙健康状态检查报告》交付</w:t>
      </w:r>
      <w:bookmarkStart w:id="0" w:name="_GoBack"/>
      <w:bookmarkEnd w:id="0"/>
      <w:r>
        <w:rPr>
          <w:rFonts w:hint="eastAsia" w:ascii="仿宋" w:hAnsi="仿宋" w:eastAsia="仿宋" w:cs="仿宋"/>
          <w:color w:val="000000" w:themeColor="text1"/>
          <w:sz w:val="24"/>
        </w:rPr>
        <w:t>采购人信息科保存。对于检查中发现的设备硬件异常应立即展开处理，并在问题修复后5个工作日内交付《防火墙故障报告》;</w:t>
      </w:r>
    </w:p>
    <w:p>
      <w:pPr>
        <w:spacing w:line="440" w:lineRule="exact"/>
        <w:rPr>
          <w:rFonts w:ascii="仿宋" w:hAnsi="仿宋" w:eastAsia="仿宋" w:cs="仿宋"/>
          <w:color w:val="000000" w:themeColor="text1"/>
          <w:sz w:val="24"/>
        </w:rPr>
      </w:pPr>
      <w:r>
        <w:rPr>
          <w:rFonts w:ascii="仿宋" w:hAnsi="仿宋" w:eastAsia="仿宋" w:cs="仿宋"/>
          <w:color w:val="000000" w:themeColor="text1"/>
          <w:sz w:val="24"/>
        </w:rPr>
        <w:t>7.</w:t>
      </w:r>
      <w:r>
        <w:rPr>
          <w:rFonts w:hint="eastAsia" w:ascii="仿宋" w:hAnsi="仿宋" w:eastAsia="仿宋" w:cs="仿宋"/>
          <w:color w:val="000000" w:themeColor="text1"/>
          <w:sz w:val="24"/>
        </w:rPr>
        <w:t>★除季度设备硬件健康状态检查、设备故障问题处理外，成交供应商每年须提供不少于</w:t>
      </w:r>
      <w:r>
        <w:rPr>
          <w:rFonts w:ascii="仿宋" w:hAnsi="仿宋" w:eastAsia="仿宋" w:cs="仿宋"/>
          <w:color w:val="000000" w:themeColor="text1"/>
          <w:sz w:val="24"/>
        </w:rPr>
        <w:t>2</w:t>
      </w:r>
      <w:r>
        <w:rPr>
          <w:rFonts w:hint="eastAsia" w:ascii="仿宋" w:hAnsi="仿宋" w:eastAsia="仿宋" w:cs="仿宋"/>
          <w:color w:val="000000" w:themeColor="text1"/>
          <w:sz w:val="24"/>
        </w:rPr>
        <w:t>0人天的网络专家技术支持服务日供采购人灵活使用，派遣具备相关资质的技术人员为采购人提供技术服务，所提供的服务内容包括但不限于：重大事件维稳现场值守、结合项目实际情况制定的技术培训、网络安全解决方案咨询等。</w:t>
      </w:r>
    </w:p>
    <w:p>
      <w:pPr>
        <w:spacing w:line="440" w:lineRule="exact"/>
        <w:rPr>
          <w:rFonts w:ascii="仿宋" w:hAnsi="仿宋" w:eastAsia="仿宋" w:cs="仿宋"/>
          <w:color w:val="000000" w:themeColor="text1"/>
          <w:sz w:val="24"/>
        </w:rPr>
      </w:pPr>
    </w:p>
    <w:p>
      <w:pPr>
        <w:numPr>
          <w:ilvl w:val="0"/>
          <w:numId w:val="1"/>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维护清单</w:t>
      </w:r>
    </w:p>
    <w:tbl>
      <w:tblPr>
        <w:tblStyle w:val="10"/>
        <w:tblW w:w="9167" w:type="dxa"/>
        <w:jc w:val="center"/>
        <w:tblLayout w:type="fixed"/>
        <w:tblCellMar>
          <w:top w:w="0" w:type="dxa"/>
          <w:left w:w="108" w:type="dxa"/>
          <w:bottom w:w="0" w:type="dxa"/>
          <w:right w:w="108" w:type="dxa"/>
        </w:tblCellMar>
      </w:tblPr>
      <w:tblGrid>
        <w:gridCol w:w="801"/>
        <w:gridCol w:w="980"/>
        <w:gridCol w:w="1841"/>
        <w:gridCol w:w="3119"/>
        <w:gridCol w:w="1008"/>
        <w:gridCol w:w="709"/>
        <w:gridCol w:w="709"/>
      </w:tblGrid>
      <w:tr>
        <w:tblPrEx>
          <w:tblCellMar>
            <w:top w:w="0" w:type="dxa"/>
            <w:left w:w="108" w:type="dxa"/>
            <w:bottom w:w="0" w:type="dxa"/>
            <w:right w:w="108" w:type="dxa"/>
          </w:tblCellMar>
        </w:tblPrEx>
        <w:trPr>
          <w:trHeight w:val="670" w:hRule="atLeast"/>
          <w:jc w:val="center"/>
        </w:trPr>
        <w:tc>
          <w:tcPr>
            <w:tcW w:w="8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Times New Roman"/>
                <w:kern w:val="0"/>
                <w:sz w:val="24"/>
              </w:rPr>
            </w:pPr>
            <w:r>
              <w:rPr>
                <w:rFonts w:hint="eastAsia" w:ascii="仿宋" w:hAnsi="仿宋" w:eastAsia="仿宋" w:cs="Times New Roman"/>
                <w:kern w:val="0"/>
                <w:sz w:val="24"/>
              </w:rPr>
              <w:t>序号</w:t>
            </w:r>
          </w:p>
        </w:tc>
        <w:tc>
          <w:tcPr>
            <w:tcW w:w="98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Times New Roman"/>
                <w:kern w:val="0"/>
                <w:sz w:val="24"/>
              </w:rPr>
            </w:pPr>
            <w:r>
              <w:rPr>
                <w:rFonts w:hint="eastAsia" w:ascii="仿宋" w:hAnsi="仿宋" w:eastAsia="仿宋" w:cs="Times New Roman"/>
                <w:kern w:val="0"/>
                <w:sz w:val="24"/>
              </w:rPr>
              <w:t>品名</w:t>
            </w:r>
          </w:p>
        </w:tc>
        <w:tc>
          <w:tcPr>
            <w:tcW w:w="1841"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Times New Roman"/>
                <w:kern w:val="0"/>
                <w:sz w:val="24"/>
              </w:rPr>
            </w:pPr>
            <w:r>
              <w:rPr>
                <w:rFonts w:hint="eastAsia" w:ascii="仿宋" w:hAnsi="仿宋" w:eastAsia="仿宋" w:cs="Times New Roman"/>
                <w:kern w:val="0"/>
                <w:sz w:val="24"/>
              </w:rPr>
              <w:t>品牌、规格型号</w:t>
            </w:r>
          </w:p>
        </w:tc>
        <w:tc>
          <w:tcPr>
            <w:tcW w:w="3119"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Times New Roman"/>
                <w:kern w:val="0"/>
                <w:sz w:val="24"/>
              </w:rPr>
            </w:pPr>
            <w:r>
              <w:rPr>
                <w:rFonts w:hint="eastAsia" w:ascii="仿宋" w:hAnsi="仿宋" w:eastAsia="仿宋" w:cs="Times New Roman"/>
                <w:kern w:val="0"/>
                <w:sz w:val="24"/>
              </w:rPr>
              <w:t>配置（性能参数）</w:t>
            </w:r>
          </w:p>
        </w:tc>
        <w:tc>
          <w:tcPr>
            <w:tcW w:w="1008"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Times New Roman"/>
                <w:kern w:val="0"/>
                <w:sz w:val="24"/>
              </w:rPr>
            </w:pPr>
            <w:r>
              <w:rPr>
                <w:rFonts w:hint="eastAsia" w:ascii="仿宋" w:hAnsi="仿宋" w:eastAsia="仿宋" w:cs="Times New Roman"/>
                <w:kern w:val="0"/>
                <w:sz w:val="24"/>
              </w:rPr>
              <w:t>制造商</w:t>
            </w:r>
          </w:p>
        </w:tc>
        <w:tc>
          <w:tcPr>
            <w:tcW w:w="709"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Times New Roman"/>
                <w:kern w:val="0"/>
                <w:sz w:val="24"/>
              </w:rPr>
            </w:pPr>
            <w:r>
              <w:rPr>
                <w:rFonts w:hint="eastAsia" w:ascii="仿宋" w:hAnsi="仿宋" w:eastAsia="仿宋" w:cs="Times New Roman"/>
                <w:kern w:val="0"/>
                <w:sz w:val="24"/>
              </w:rPr>
              <w:t>单位</w:t>
            </w:r>
          </w:p>
        </w:tc>
        <w:tc>
          <w:tcPr>
            <w:tcW w:w="709"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Times New Roman"/>
                <w:kern w:val="0"/>
                <w:sz w:val="24"/>
              </w:rPr>
            </w:pPr>
            <w:r>
              <w:rPr>
                <w:rFonts w:hint="eastAsia" w:ascii="仿宋" w:hAnsi="仿宋" w:eastAsia="仿宋" w:cs="Times New Roman"/>
                <w:kern w:val="0"/>
                <w:sz w:val="24"/>
              </w:rPr>
              <w:t>数量</w:t>
            </w:r>
          </w:p>
        </w:tc>
      </w:tr>
      <w:tr>
        <w:tblPrEx>
          <w:tblCellMar>
            <w:top w:w="0" w:type="dxa"/>
            <w:left w:w="108" w:type="dxa"/>
            <w:bottom w:w="0" w:type="dxa"/>
            <w:right w:w="108" w:type="dxa"/>
          </w:tblCellMar>
        </w:tblPrEx>
        <w:trPr>
          <w:trHeight w:val="494" w:hRule="atLeast"/>
          <w:jc w:val="center"/>
        </w:trPr>
        <w:tc>
          <w:tcPr>
            <w:tcW w:w="801" w:type="dxa"/>
            <w:tcBorders>
              <w:top w:val="nil"/>
              <w:left w:val="single" w:color="auto" w:sz="4" w:space="0"/>
              <w:bottom w:val="single" w:color="000000" w:sz="4" w:space="0"/>
              <w:right w:val="single" w:color="auto" w:sz="4" w:space="0"/>
            </w:tcBorders>
            <w:vAlign w:val="center"/>
          </w:tcPr>
          <w:p>
            <w:pPr>
              <w:widowControl/>
              <w:jc w:val="center"/>
              <w:rPr>
                <w:rFonts w:ascii="仿宋" w:hAnsi="仿宋" w:eastAsia="仿宋" w:cs="Times New Roman"/>
                <w:kern w:val="0"/>
                <w:sz w:val="24"/>
              </w:rPr>
            </w:pPr>
            <w:r>
              <w:rPr>
                <w:rFonts w:hint="eastAsia" w:ascii="仿宋" w:hAnsi="仿宋" w:eastAsia="仿宋" w:cs="Times New Roman"/>
                <w:kern w:val="0"/>
                <w:sz w:val="24"/>
              </w:rPr>
              <w:t>1</w:t>
            </w:r>
          </w:p>
        </w:tc>
        <w:tc>
          <w:tcPr>
            <w:tcW w:w="980" w:type="dxa"/>
            <w:tcBorders>
              <w:top w:val="nil"/>
              <w:left w:val="nil"/>
              <w:bottom w:val="single" w:color="auto" w:sz="4" w:space="0"/>
              <w:right w:val="single" w:color="auto" w:sz="4" w:space="0"/>
            </w:tcBorders>
            <w:vAlign w:val="center"/>
          </w:tcPr>
          <w:p>
            <w:pPr>
              <w:widowControl/>
              <w:jc w:val="center"/>
              <w:rPr>
                <w:rFonts w:ascii="仿宋" w:hAnsi="仿宋" w:eastAsia="仿宋" w:cs="Times New Roman"/>
                <w:kern w:val="0"/>
                <w:sz w:val="24"/>
              </w:rPr>
            </w:pPr>
            <w:r>
              <w:rPr>
                <w:rFonts w:hint="eastAsia" w:ascii="仿宋" w:hAnsi="仿宋" w:eastAsia="仿宋" w:cs="Times New Roman"/>
                <w:kern w:val="0"/>
                <w:sz w:val="24"/>
              </w:rPr>
              <w:t>防火墙</w:t>
            </w:r>
          </w:p>
        </w:tc>
        <w:tc>
          <w:tcPr>
            <w:tcW w:w="1841" w:type="dxa"/>
            <w:tcBorders>
              <w:top w:val="nil"/>
              <w:left w:val="nil"/>
              <w:bottom w:val="single" w:color="auto" w:sz="4" w:space="0"/>
              <w:right w:val="single" w:color="auto" w:sz="4" w:space="0"/>
            </w:tcBorders>
            <w:vAlign w:val="center"/>
          </w:tcPr>
          <w:p>
            <w:pPr>
              <w:widowControl/>
              <w:jc w:val="center"/>
              <w:rPr>
                <w:rFonts w:ascii="仿宋" w:hAnsi="仿宋" w:eastAsia="仿宋" w:cs="Times New Roman"/>
                <w:kern w:val="0"/>
                <w:sz w:val="24"/>
              </w:rPr>
            </w:pPr>
            <w:r>
              <w:rPr>
                <w:rFonts w:hint="eastAsia" w:ascii="仿宋" w:hAnsi="仿宋" w:eastAsia="仿宋" w:cs="Times New Roman"/>
                <w:kern w:val="0"/>
                <w:sz w:val="24"/>
              </w:rPr>
              <w:t>TN-SG5000-E680</w:t>
            </w:r>
          </w:p>
        </w:tc>
        <w:tc>
          <w:tcPr>
            <w:tcW w:w="3119" w:type="dxa"/>
            <w:tcBorders>
              <w:top w:val="nil"/>
              <w:left w:val="nil"/>
              <w:bottom w:val="single" w:color="auto" w:sz="4" w:space="0"/>
              <w:right w:val="single" w:color="auto" w:sz="4" w:space="0"/>
            </w:tcBorders>
            <w:vAlign w:val="center"/>
          </w:tcPr>
          <w:p>
            <w:pPr>
              <w:widowControl/>
              <w:jc w:val="center"/>
              <w:rPr>
                <w:rFonts w:ascii="仿宋" w:hAnsi="仿宋" w:eastAsia="仿宋" w:cs="Times New Roman"/>
                <w:kern w:val="0"/>
                <w:sz w:val="24"/>
              </w:rPr>
            </w:pPr>
            <w:r>
              <w:rPr>
                <w:rFonts w:hint="eastAsia" w:ascii="仿宋" w:hAnsi="仿宋" w:eastAsia="仿宋" w:cs="Times New Roman"/>
                <w:kern w:val="0"/>
                <w:sz w:val="24"/>
              </w:rPr>
              <w:t>18个GE RJ45端口（包括1个MGMT端口、1个HA端口、16个交换机端口）、16个GE SFP插槽、SPU NP6和CP9硬件加速</w:t>
            </w:r>
          </w:p>
        </w:tc>
        <w:tc>
          <w:tcPr>
            <w:tcW w:w="1008"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Times New Roman"/>
                <w:kern w:val="0"/>
                <w:sz w:val="24"/>
              </w:rPr>
            </w:pPr>
            <w:r>
              <w:rPr>
                <w:rFonts w:hint="eastAsia" w:ascii="仿宋" w:hAnsi="仿宋" w:eastAsia="仿宋" w:cs="Times New Roman"/>
                <w:kern w:val="0"/>
                <w:sz w:val="24"/>
              </w:rPr>
              <w:t>清华永新</w:t>
            </w:r>
          </w:p>
        </w:tc>
        <w:tc>
          <w:tcPr>
            <w:tcW w:w="709" w:type="dxa"/>
            <w:tcBorders>
              <w:top w:val="nil"/>
              <w:left w:val="nil"/>
              <w:bottom w:val="single" w:color="auto" w:sz="4" w:space="0"/>
              <w:right w:val="single" w:color="auto" w:sz="4" w:space="0"/>
            </w:tcBorders>
            <w:vAlign w:val="center"/>
          </w:tcPr>
          <w:p>
            <w:pPr>
              <w:widowControl/>
              <w:jc w:val="center"/>
              <w:rPr>
                <w:rFonts w:ascii="仿宋" w:hAnsi="仿宋" w:eastAsia="仿宋" w:cs="Times New Roman"/>
                <w:kern w:val="0"/>
                <w:sz w:val="24"/>
              </w:rPr>
            </w:pPr>
            <w:r>
              <w:rPr>
                <w:rFonts w:hint="eastAsia" w:ascii="仿宋" w:hAnsi="仿宋" w:eastAsia="仿宋" w:cs="Times New Roman"/>
                <w:kern w:val="0"/>
                <w:sz w:val="24"/>
              </w:rPr>
              <w:t>台</w:t>
            </w:r>
          </w:p>
        </w:tc>
        <w:tc>
          <w:tcPr>
            <w:tcW w:w="709" w:type="dxa"/>
            <w:tcBorders>
              <w:top w:val="nil"/>
              <w:left w:val="nil"/>
              <w:bottom w:val="single" w:color="auto" w:sz="4" w:space="0"/>
              <w:right w:val="single" w:color="auto" w:sz="4" w:space="0"/>
            </w:tcBorders>
            <w:vAlign w:val="center"/>
          </w:tcPr>
          <w:p>
            <w:pPr>
              <w:widowControl/>
              <w:jc w:val="center"/>
              <w:rPr>
                <w:rFonts w:ascii="仿宋" w:hAnsi="仿宋" w:eastAsia="仿宋" w:cs="Times New Roman"/>
                <w:kern w:val="0"/>
                <w:sz w:val="24"/>
              </w:rPr>
            </w:pPr>
            <w:r>
              <w:rPr>
                <w:rFonts w:hint="eastAsia" w:ascii="仿宋" w:hAnsi="仿宋" w:eastAsia="仿宋" w:cs="Times New Roman"/>
                <w:kern w:val="0"/>
                <w:sz w:val="24"/>
              </w:rPr>
              <w:t>3</w:t>
            </w:r>
          </w:p>
        </w:tc>
      </w:tr>
      <w:tr>
        <w:tblPrEx>
          <w:tblCellMar>
            <w:top w:w="0" w:type="dxa"/>
            <w:left w:w="108" w:type="dxa"/>
            <w:bottom w:w="0" w:type="dxa"/>
            <w:right w:w="108" w:type="dxa"/>
          </w:tblCellMar>
        </w:tblPrEx>
        <w:trPr>
          <w:trHeight w:val="506" w:hRule="atLeast"/>
          <w:jc w:val="center"/>
        </w:trPr>
        <w:tc>
          <w:tcPr>
            <w:tcW w:w="801" w:type="dxa"/>
            <w:tcBorders>
              <w:top w:val="nil"/>
              <w:left w:val="single" w:color="auto" w:sz="4" w:space="0"/>
              <w:bottom w:val="single" w:color="000000" w:sz="4" w:space="0"/>
              <w:right w:val="single" w:color="auto" w:sz="4" w:space="0"/>
            </w:tcBorders>
            <w:vAlign w:val="center"/>
          </w:tcPr>
          <w:p>
            <w:pPr>
              <w:widowControl/>
              <w:jc w:val="center"/>
              <w:rPr>
                <w:rFonts w:ascii="仿宋" w:hAnsi="仿宋" w:eastAsia="仿宋" w:cs="Times New Roman"/>
                <w:kern w:val="0"/>
                <w:sz w:val="24"/>
              </w:rPr>
            </w:pPr>
            <w:r>
              <w:rPr>
                <w:rFonts w:hint="eastAsia" w:ascii="仿宋" w:hAnsi="仿宋" w:eastAsia="仿宋" w:cs="Times New Roman"/>
                <w:kern w:val="0"/>
                <w:sz w:val="24"/>
              </w:rPr>
              <w:t>2</w:t>
            </w:r>
          </w:p>
        </w:tc>
        <w:tc>
          <w:tcPr>
            <w:tcW w:w="980" w:type="dxa"/>
            <w:tcBorders>
              <w:top w:val="nil"/>
              <w:left w:val="nil"/>
              <w:bottom w:val="single" w:color="auto" w:sz="4" w:space="0"/>
              <w:right w:val="single" w:color="auto" w:sz="4" w:space="0"/>
            </w:tcBorders>
            <w:vAlign w:val="center"/>
          </w:tcPr>
          <w:p>
            <w:pPr>
              <w:widowControl/>
              <w:jc w:val="center"/>
              <w:rPr>
                <w:rFonts w:ascii="仿宋" w:hAnsi="仿宋" w:eastAsia="仿宋" w:cs="Times New Roman"/>
                <w:kern w:val="0"/>
                <w:sz w:val="24"/>
              </w:rPr>
            </w:pPr>
            <w:r>
              <w:rPr>
                <w:rFonts w:hint="eastAsia" w:ascii="仿宋" w:hAnsi="仿宋" w:eastAsia="仿宋" w:cs="Times New Roman"/>
                <w:kern w:val="0"/>
                <w:sz w:val="24"/>
              </w:rPr>
              <w:t>软件</w:t>
            </w:r>
          </w:p>
        </w:tc>
        <w:tc>
          <w:tcPr>
            <w:tcW w:w="1841" w:type="dxa"/>
            <w:tcBorders>
              <w:top w:val="nil"/>
              <w:left w:val="nil"/>
              <w:bottom w:val="single" w:color="auto" w:sz="4" w:space="0"/>
              <w:right w:val="single" w:color="auto" w:sz="4" w:space="0"/>
            </w:tcBorders>
            <w:vAlign w:val="center"/>
          </w:tcPr>
          <w:p>
            <w:pPr>
              <w:widowControl/>
              <w:jc w:val="center"/>
              <w:rPr>
                <w:rFonts w:ascii="仿宋" w:hAnsi="仿宋" w:eastAsia="仿宋" w:cs="Times New Roman"/>
                <w:kern w:val="0"/>
                <w:sz w:val="24"/>
              </w:rPr>
            </w:pPr>
            <w:r>
              <w:rPr>
                <w:rFonts w:hint="eastAsia" w:ascii="仿宋" w:hAnsi="仿宋" w:eastAsia="仿宋" w:cs="Times New Roman"/>
                <w:kern w:val="0"/>
                <w:sz w:val="24"/>
              </w:rPr>
              <w:t>TN-Analyzer-VM-GB5</w:t>
            </w:r>
          </w:p>
        </w:tc>
        <w:tc>
          <w:tcPr>
            <w:tcW w:w="3119" w:type="dxa"/>
            <w:tcBorders>
              <w:top w:val="nil"/>
              <w:left w:val="nil"/>
              <w:bottom w:val="single" w:color="auto" w:sz="4" w:space="0"/>
              <w:right w:val="single" w:color="auto" w:sz="4" w:space="0"/>
            </w:tcBorders>
            <w:vAlign w:val="center"/>
          </w:tcPr>
          <w:p>
            <w:pPr>
              <w:widowControl/>
              <w:jc w:val="center"/>
              <w:rPr>
                <w:rFonts w:ascii="仿宋" w:hAnsi="仿宋" w:eastAsia="仿宋" w:cs="Times New Roman"/>
                <w:kern w:val="0"/>
                <w:sz w:val="24"/>
              </w:rPr>
            </w:pPr>
            <w:r>
              <w:rPr>
                <w:rFonts w:hint="eastAsia" w:ascii="仿宋" w:hAnsi="仿宋" w:eastAsia="仿宋" w:cs="Times New Roman"/>
                <w:kern w:val="0"/>
                <w:sz w:val="24"/>
              </w:rPr>
              <w:t>升级许可证以添加25 GB/天的日志和10 TB的存储容量</w:t>
            </w:r>
          </w:p>
        </w:tc>
        <w:tc>
          <w:tcPr>
            <w:tcW w:w="1008"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Times New Roman"/>
                <w:kern w:val="0"/>
                <w:sz w:val="24"/>
              </w:rPr>
            </w:pPr>
            <w:r>
              <w:rPr>
                <w:rFonts w:hint="eastAsia" w:ascii="仿宋" w:hAnsi="仿宋" w:eastAsia="仿宋" w:cs="Times New Roman"/>
                <w:kern w:val="0"/>
                <w:sz w:val="24"/>
              </w:rPr>
              <w:t>清华永新</w:t>
            </w:r>
          </w:p>
        </w:tc>
        <w:tc>
          <w:tcPr>
            <w:tcW w:w="709" w:type="dxa"/>
            <w:tcBorders>
              <w:top w:val="nil"/>
              <w:left w:val="nil"/>
              <w:bottom w:val="single" w:color="auto" w:sz="4" w:space="0"/>
              <w:right w:val="single" w:color="auto" w:sz="4" w:space="0"/>
            </w:tcBorders>
            <w:vAlign w:val="center"/>
          </w:tcPr>
          <w:p>
            <w:pPr>
              <w:widowControl/>
              <w:jc w:val="center"/>
              <w:rPr>
                <w:rFonts w:ascii="仿宋" w:hAnsi="仿宋" w:eastAsia="仿宋" w:cs="Times New Roman"/>
                <w:kern w:val="0"/>
                <w:sz w:val="24"/>
              </w:rPr>
            </w:pPr>
            <w:r>
              <w:rPr>
                <w:rFonts w:hint="eastAsia" w:ascii="仿宋" w:hAnsi="仿宋" w:eastAsia="仿宋" w:cs="Times New Roman"/>
                <w:kern w:val="0"/>
                <w:sz w:val="24"/>
              </w:rPr>
              <w:t>套</w:t>
            </w:r>
          </w:p>
        </w:tc>
        <w:tc>
          <w:tcPr>
            <w:tcW w:w="709" w:type="dxa"/>
            <w:tcBorders>
              <w:top w:val="nil"/>
              <w:left w:val="nil"/>
              <w:bottom w:val="single" w:color="auto" w:sz="4" w:space="0"/>
              <w:right w:val="single" w:color="auto" w:sz="4" w:space="0"/>
            </w:tcBorders>
            <w:vAlign w:val="center"/>
          </w:tcPr>
          <w:p>
            <w:pPr>
              <w:widowControl/>
              <w:jc w:val="center"/>
              <w:rPr>
                <w:rFonts w:ascii="仿宋" w:hAnsi="仿宋" w:eastAsia="仿宋" w:cs="Times New Roman"/>
                <w:kern w:val="0"/>
                <w:sz w:val="24"/>
              </w:rPr>
            </w:pPr>
            <w:r>
              <w:rPr>
                <w:rFonts w:hint="eastAsia" w:ascii="仿宋" w:hAnsi="仿宋" w:eastAsia="仿宋" w:cs="Times New Roman"/>
                <w:kern w:val="0"/>
                <w:sz w:val="24"/>
              </w:rPr>
              <w:t>1</w:t>
            </w:r>
          </w:p>
        </w:tc>
      </w:tr>
    </w:tbl>
    <w:p>
      <w:pPr>
        <w:spacing w:line="440" w:lineRule="exact"/>
        <w:rPr>
          <w:rFonts w:ascii="仿宋" w:hAnsi="仿宋" w:eastAsia="仿宋" w:cs="仿宋"/>
          <w:color w:val="000000" w:themeColor="text1"/>
          <w:sz w:val="24"/>
        </w:rPr>
      </w:pPr>
    </w:p>
    <w:p>
      <w:pPr>
        <w:numPr>
          <w:ilvl w:val="0"/>
          <w:numId w:val="1"/>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服务要求</w:t>
      </w:r>
    </w:p>
    <w:p>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1.接到采购人通知后，成交供应商工程师到达现场时间：4 小时内</w:t>
      </w:r>
    </w:p>
    <w:p>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2.成交供应商为采购人提供服务时间：</w:t>
      </w:r>
      <w:r>
        <w:rPr>
          <w:rFonts w:ascii="仿宋" w:hAnsi="仿宋" w:eastAsia="仿宋" w:cs="仿宋"/>
          <w:color w:val="000000" w:themeColor="text1"/>
          <w:sz w:val="24"/>
        </w:rPr>
        <w:t>24</w:t>
      </w:r>
      <w:r>
        <w:rPr>
          <w:rFonts w:hint="eastAsia" w:ascii="仿宋" w:hAnsi="仿宋" w:eastAsia="仿宋" w:cs="仿宋"/>
          <w:color w:val="000000" w:themeColor="text1"/>
          <w:sz w:val="24"/>
        </w:rPr>
        <w:t xml:space="preserve"> 小时/天、</w:t>
      </w:r>
      <w:r>
        <w:rPr>
          <w:rFonts w:ascii="仿宋" w:hAnsi="仿宋" w:eastAsia="仿宋" w:cs="仿宋"/>
          <w:color w:val="000000" w:themeColor="text1"/>
          <w:sz w:val="24"/>
        </w:rPr>
        <w:t>7</w:t>
      </w:r>
      <w:r>
        <w:rPr>
          <w:rFonts w:hint="eastAsia" w:ascii="仿宋" w:hAnsi="仿宋" w:eastAsia="仿宋" w:cs="仿宋"/>
          <w:color w:val="000000" w:themeColor="text1"/>
          <w:sz w:val="24"/>
        </w:rPr>
        <w:t xml:space="preserve"> 天/周</w:t>
      </w:r>
    </w:p>
    <w:p>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3.成交供应商响应时间：接到问题解决需求后30分钟内</w:t>
      </w:r>
    </w:p>
    <w:p>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4.维保期内提供远程问题诊断和支持服务</w:t>
      </w:r>
    </w:p>
    <w:p>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5.维保期内提供软件特性和操作支持服务</w:t>
      </w:r>
    </w:p>
    <w:p>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6.维保期内提供现场硬件系统支持服务</w:t>
      </w:r>
    </w:p>
    <w:p>
      <w:pPr>
        <w:spacing w:line="440" w:lineRule="exact"/>
        <w:rPr>
          <w:rFonts w:ascii="仿宋" w:hAnsi="仿宋" w:eastAsia="仿宋" w:cs="仿宋"/>
          <w:color w:val="000000" w:themeColor="text1"/>
          <w:sz w:val="24"/>
        </w:rPr>
      </w:pPr>
      <w:r>
        <w:rPr>
          <w:rFonts w:ascii="仿宋" w:hAnsi="仿宋" w:eastAsia="仿宋" w:cs="仿宋"/>
          <w:color w:val="000000" w:themeColor="text1"/>
          <w:sz w:val="24"/>
        </w:rPr>
        <w:t>7</w:t>
      </w:r>
      <w:r>
        <w:rPr>
          <w:rFonts w:hint="eastAsia" w:ascii="仿宋" w:hAnsi="仿宋" w:eastAsia="仿宋" w:cs="仿宋"/>
          <w:color w:val="000000" w:themeColor="text1"/>
          <w:sz w:val="24"/>
        </w:rPr>
        <w:t>.疑难问题升级服务</w:t>
      </w:r>
    </w:p>
    <w:p>
      <w:pPr>
        <w:spacing w:line="440" w:lineRule="exact"/>
        <w:rPr>
          <w:rFonts w:ascii="仿宋" w:hAnsi="仿宋" w:eastAsia="仿宋" w:cs="仿宋"/>
          <w:color w:val="000000" w:themeColor="text1"/>
          <w:sz w:val="24"/>
        </w:rPr>
      </w:pPr>
      <w:r>
        <w:rPr>
          <w:rFonts w:ascii="仿宋" w:hAnsi="仿宋" w:eastAsia="仿宋" w:cs="仿宋"/>
          <w:color w:val="000000" w:themeColor="text1"/>
          <w:sz w:val="24"/>
        </w:rPr>
        <w:t>8</w:t>
      </w:r>
      <w:r>
        <w:rPr>
          <w:rFonts w:hint="eastAsia" w:ascii="仿宋" w:hAnsi="仿宋" w:eastAsia="仿宋" w:cs="仿宋"/>
          <w:color w:val="000000" w:themeColor="text1"/>
          <w:sz w:val="24"/>
        </w:rPr>
        <w:t>.访问相应技术资源</w:t>
      </w:r>
    </w:p>
    <w:p>
      <w:pPr>
        <w:spacing w:line="440" w:lineRule="exact"/>
        <w:rPr>
          <w:rFonts w:ascii="仿宋" w:hAnsi="仿宋" w:eastAsia="仿宋" w:cs="仿宋"/>
          <w:color w:val="000000" w:themeColor="text1"/>
          <w:sz w:val="24"/>
        </w:rPr>
      </w:pPr>
      <w:r>
        <w:rPr>
          <w:rFonts w:ascii="仿宋" w:hAnsi="仿宋" w:eastAsia="仿宋" w:cs="仿宋"/>
          <w:color w:val="000000" w:themeColor="text1"/>
          <w:sz w:val="24"/>
        </w:rPr>
        <w:t>9</w:t>
      </w:r>
      <w:r>
        <w:rPr>
          <w:rFonts w:hint="eastAsia" w:ascii="仿宋" w:hAnsi="仿宋" w:eastAsia="仿宋" w:cs="仿宋"/>
          <w:color w:val="000000" w:themeColor="text1"/>
          <w:sz w:val="24"/>
        </w:rPr>
        <w:t>.软件产品和文档更新</w:t>
      </w:r>
    </w:p>
    <w:p>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w:t>
      </w:r>
      <w:r>
        <w:rPr>
          <w:rFonts w:ascii="仿宋" w:hAnsi="仿宋" w:eastAsia="仿宋" w:cs="仿宋"/>
          <w:color w:val="000000" w:themeColor="text1"/>
          <w:sz w:val="24"/>
        </w:rPr>
        <w:t>0</w:t>
      </w:r>
      <w:r>
        <w:rPr>
          <w:rFonts w:hint="eastAsia" w:ascii="仿宋" w:hAnsi="仿宋" w:eastAsia="仿宋" w:cs="仿宋"/>
          <w:color w:val="000000" w:themeColor="text1"/>
          <w:sz w:val="24"/>
        </w:rPr>
        <w:t>.远程访问支持</w:t>
      </w:r>
    </w:p>
    <w:p>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w:t>
      </w:r>
      <w:r>
        <w:rPr>
          <w:rFonts w:ascii="仿宋" w:hAnsi="仿宋" w:eastAsia="仿宋" w:cs="仿宋"/>
          <w:color w:val="000000" w:themeColor="text1"/>
          <w:sz w:val="24"/>
        </w:rPr>
        <w:t>1.</w:t>
      </w:r>
      <w:r>
        <w:rPr>
          <w:rFonts w:hint="eastAsia" w:ascii="仿宋" w:hAnsi="仿宋" w:eastAsia="仿宋" w:cs="仿宋"/>
          <w:color w:val="000000" w:themeColor="text1"/>
          <w:sz w:val="24"/>
        </w:rPr>
        <w:t>结合采购人当前网络环境及业务场景，向采购人提供网络安全技术培训；</w:t>
      </w:r>
    </w:p>
    <w:p>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w:t>
      </w:r>
      <w:r>
        <w:rPr>
          <w:rFonts w:ascii="仿宋" w:hAnsi="仿宋" w:eastAsia="仿宋" w:cs="仿宋"/>
          <w:color w:val="000000" w:themeColor="text1"/>
          <w:sz w:val="24"/>
        </w:rPr>
        <w:t>2.</w:t>
      </w:r>
      <w:r>
        <w:rPr>
          <w:rFonts w:hint="eastAsia" w:ascii="仿宋" w:hAnsi="仿宋" w:eastAsia="仿宋" w:cs="仿宋"/>
          <w:color w:val="000000" w:themeColor="text1"/>
          <w:sz w:val="24"/>
        </w:rPr>
        <w:t>如遇到的故障问题成交供应商无法解决，采购人有权要求成交供应商及时联系原厂解决或由采购人直接联系原厂商解决，相关费用由成交供应商承担。</w:t>
      </w:r>
    </w:p>
    <w:p>
      <w:pPr>
        <w:spacing w:line="440" w:lineRule="exact"/>
        <w:rPr>
          <w:rFonts w:ascii="仿宋" w:hAnsi="仿宋" w:eastAsia="仿宋" w:cs="仿宋"/>
          <w:color w:val="000000" w:themeColor="text1"/>
          <w:sz w:val="24"/>
        </w:rPr>
      </w:pPr>
    </w:p>
    <w:p>
      <w:pPr>
        <w:spacing w:line="440" w:lineRule="exact"/>
        <w:rPr>
          <w:rFonts w:ascii="仿宋" w:hAnsi="仿宋" w:eastAsia="仿宋" w:cs="仿宋"/>
          <w:color w:val="000000" w:themeColor="text1"/>
          <w:sz w:val="24"/>
        </w:rPr>
      </w:pPr>
    </w:p>
    <w:p>
      <w:pPr>
        <w:numPr>
          <w:ilvl w:val="0"/>
          <w:numId w:val="1"/>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商务要求：</w:t>
      </w:r>
    </w:p>
    <w:p>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1.交货及安装、验收要求</w:t>
      </w:r>
    </w:p>
    <w:p>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1.1交货地点：中山市小榄人民医院</w:t>
      </w:r>
    </w:p>
    <w:p>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1.2交货期：成交供应商应当在成交通知书发出之日起30日内按招标文件及成交供应商的投标文件确定的事项与采购人签订合同，签订合同后</w:t>
      </w:r>
      <w:r>
        <w:rPr>
          <w:rFonts w:hint="eastAsia" w:ascii="仿宋" w:hAnsi="仿宋" w:eastAsia="仿宋" w:cs="仿宋"/>
          <w:color w:val="000000" w:themeColor="text1"/>
          <w:sz w:val="24"/>
          <w:u w:val="single"/>
        </w:rPr>
        <w:t xml:space="preserve"> </w:t>
      </w:r>
      <w:r>
        <w:rPr>
          <w:rFonts w:ascii="仿宋" w:hAnsi="仿宋" w:eastAsia="仿宋" w:cs="仿宋"/>
          <w:color w:val="000000" w:themeColor="text1"/>
          <w:sz w:val="24"/>
          <w:u w:val="single"/>
        </w:rPr>
        <w:t>5</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rPr>
        <w:t>日内维护服务生效。</w:t>
      </w:r>
    </w:p>
    <w:p>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w:t>
      </w:r>
      <w:r>
        <w:rPr>
          <w:rFonts w:ascii="仿宋" w:hAnsi="仿宋" w:eastAsia="仿宋" w:cs="仿宋"/>
          <w:color w:val="000000" w:themeColor="text1"/>
          <w:sz w:val="24"/>
        </w:rPr>
        <w:t>3</w:t>
      </w:r>
      <w:r>
        <w:rPr>
          <w:rFonts w:hint="eastAsia" w:ascii="仿宋" w:hAnsi="仿宋" w:eastAsia="仿宋" w:cs="仿宋"/>
          <w:color w:val="000000" w:themeColor="text1"/>
          <w:sz w:val="24"/>
        </w:rPr>
        <w:t>成交供应商负责派技术人员对本项目维护设备提供维护服务，确保维护设备运行正常且功能完整，项目所需费用全部包含在总报价内。</w:t>
      </w:r>
    </w:p>
    <w:p>
      <w:pPr>
        <w:spacing w:line="440" w:lineRule="exact"/>
        <w:rPr>
          <w:rFonts w:ascii="仿宋" w:hAnsi="仿宋" w:eastAsia="仿宋" w:cs="仿宋"/>
          <w:color w:val="000000" w:themeColor="text1"/>
          <w:sz w:val="24"/>
        </w:rPr>
      </w:pPr>
      <w:r>
        <w:rPr>
          <w:rFonts w:ascii="仿宋" w:hAnsi="仿宋" w:eastAsia="仿宋" w:cs="仿宋"/>
          <w:color w:val="000000" w:themeColor="text1"/>
          <w:sz w:val="24"/>
        </w:rPr>
        <w:t>1.4</w:t>
      </w:r>
      <w:r>
        <w:rPr>
          <w:rFonts w:hint="eastAsia" w:ascii="仿宋" w:hAnsi="仿宋" w:eastAsia="仿宋" w:cs="仿宋"/>
          <w:color w:val="000000" w:themeColor="text1"/>
          <w:sz w:val="24"/>
        </w:rPr>
        <w:t>验收方式：维护期内，成交供应商必须每季度进行至少一次设备硬件健康状态现场检查，对本项目维护清单范围内所有设备进行硬件状态检查与记录，并输出《季度防火墙健康状态检查报告》交付采购人信息科保存。对于检查中发现的设备硬件异常应立即展开处理，并在问题修复后5个工作日内交付《防火墙故障报告》。每季度以成交供应商能否严格遵守本项目用户需求书各项要求，及《季度防火墙健康状态检查报告》与《防火墙故障报告》作为依据评判当季度维护服务质量。对于维护服务质量不符合本用户需求书要求的季度，采购人有权扣除当季度维护服务费用。</w:t>
      </w:r>
    </w:p>
    <w:p>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2.售后服务要求</w:t>
      </w:r>
    </w:p>
    <w:p>
      <w:pPr>
        <w:tabs>
          <w:tab w:val="left" w:pos="420"/>
        </w:tabs>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2.1成交供应商必须在中国境内有售后服务机构，并附有售后服务能力说明。</w:t>
      </w:r>
    </w:p>
    <w:p>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2.2在维护期内，成交供应商接收到采购人的维护通知，响应时间为半小时内，工程师到达现场时间为4小时内，排除故障时限为到达现场后8小时内。</w:t>
      </w:r>
    </w:p>
    <w:p>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2.3如果故障在发生12小时后仍无法排除，成交供应商技术人员应每天到故障现场对故障作处理，直至故障修复。</w:t>
      </w:r>
    </w:p>
    <w:p>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3.付款方式</w:t>
      </w:r>
    </w:p>
    <w:p>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★3.1本合同的每笔款项以人民币转账方式支付，成交供应商技术人员到采购人指定地点完成维护工作，验收合格后，成交供应商凭：</w:t>
      </w:r>
    </w:p>
    <w:p>
      <w:pPr>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（1）合同；</w:t>
      </w:r>
    </w:p>
    <w:p>
      <w:pPr>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（2）验收调试合格报告（加盖采购人公章）；</w:t>
      </w:r>
    </w:p>
    <w:p>
      <w:pPr>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（3）成交供应商开具的正式发票，加盖发票专用章。</w:t>
      </w:r>
    </w:p>
    <w:p>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3.2具体付款方式：按季度支付服务款项，分四次支付，签订合同后，并且由合同签订日起服务满三个月，采购人支付第一季度服务款项，成交供应商须提供相应金额的发票，采购人收到成交供应商发票并审核无误后，一个月内支付合同总金额的</w:t>
      </w:r>
      <w:r>
        <w:rPr>
          <w:rFonts w:ascii="仿宋" w:hAnsi="仿宋" w:eastAsia="仿宋" w:cs="仿宋"/>
          <w:color w:val="000000" w:themeColor="text1"/>
          <w:sz w:val="24"/>
        </w:rPr>
        <w:t>25</w:t>
      </w:r>
      <w:r>
        <w:rPr>
          <w:rFonts w:hint="eastAsia" w:ascii="仿宋" w:hAnsi="仿宋" w:eastAsia="仿宋" w:cs="仿宋"/>
          <w:color w:val="000000" w:themeColor="text1"/>
          <w:sz w:val="24"/>
        </w:rPr>
        <w:t>%费用，如此类推，之后每个季度支付</w:t>
      </w:r>
      <w:r>
        <w:rPr>
          <w:rFonts w:ascii="仿宋" w:hAnsi="仿宋" w:eastAsia="仿宋" w:cs="仿宋"/>
          <w:color w:val="000000" w:themeColor="text1"/>
          <w:sz w:val="24"/>
        </w:rPr>
        <w:t>25</w:t>
      </w:r>
      <w:r>
        <w:rPr>
          <w:rFonts w:hint="eastAsia" w:ascii="仿宋" w:hAnsi="仿宋" w:eastAsia="仿宋" w:cs="仿宋"/>
          <w:color w:val="000000" w:themeColor="text1"/>
          <w:sz w:val="24"/>
        </w:rPr>
        <w:t>%，直到支付完毕。</w:t>
      </w:r>
    </w:p>
    <w:sectPr>
      <w:footerReference r:id="rId3" w:type="default"/>
      <w:pgSz w:w="11906" w:h="16838"/>
      <w:pgMar w:top="1440" w:right="1800" w:bottom="1440" w:left="1800" w:header="851" w:footer="425"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030351"/>
    </w:sdtPr>
    <w:sdtContent>
      <w:p>
        <w:pPr>
          <w:pStyle w:val="6"/>
        </w:pPr>
        <w:r>
          <w:rPr>
            <w:rFonts w:hint="eastAsia"/>
          </w:rPr>
          <w:t>参数制定人：                                审核人：</w:t>
        </w: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6"/>
                                <w:jc w:val="center"/>
                              </w:pPr>
                              <w:r>
                                <w:rPr>
                                  <w:lang w:val="zh-CN"/>
                                </w:rPr>
                                <w:t xml:space="preserve"> </w:t>
                              </w:r>
                              <w:r>
                                <w:rPr>
                                  <w:b/>
                                  <w:sz w:val="24"/>
                                </w:rPr>
                                <w:fldChar w:fldCharType="begin"/>
                              </w:r>
                              <w:r>
                                <w:rPr>
                                  <w:b/>
                                </w:rPr>
                                <w:instrText xml:space="preserve">PAGE</w:instrText>
                              </w:r>
                              <w:r>
                                <w:rPr>
                                  <w:b/>
                                  <w:sz w:val="24"/>
                                </w:rPr>
                                <w:fldChar w:fldCharType="separate"/>
                              </w:r>
                              <w:r>
                                <w:rPr>
                                  <w:b/>
                                </w:rPr>
                                <w:t>1</w:t>
                              </w:r>
                              <w:r>
                                <w:rPr>
                                  <w:b/>
                                  <w:sz w:val="24"/>
                                </w:rPr>
                                <w:fldChar w:fldCharType="end"/>
                              </w:r>
                              <w:r>
                                <w:rPr>
                                  <w:lang w:val="zh-CN"/>
                                </w:rPr>
                                <w:t xml:space="preserve"> / </w:t>
                              </w:r>
                              <w:r>
                                <w:rPr>
                                  <w:b/>
                                  <w:sz w:val="24"/>
                                </w:rPr>
                                <w:fldChar w:fldCharType="begin"/>
                              </w:r>
                              <w:r>
                                <w:rPr>
                                  <w:b/>
                                </w:rPr>
                                <w:instrText xml:space="preserve">NUMPAGES</w:instrText>
                              </w:r>
                              <w:r>
                                <w:rPr>
                                  <w:b/>
                                  <w:sz w:val="24"/>
                                </w:rPr>
                                <w:fldChar w:fldCharType="separate"/>
                              </w:r>
                              <w:r>
                                <w:rPr>
                                  <w:b/>
                                </w:rPr>
                                <w:t>4</w:t>
                              </w:r>
                              <w:r>
                                <w:rPr>
                                  <w:b/>
                                  <w:sz w:val="24"/>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aD3B88BAACqAwAADgAAAGRycy9lMm9Eb2MueG1srVPNjtMwEL4j8Q6W&#10;7zRpJ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gTMnLD345fu3y49fl59f2bJc&#10;vU4K9QErKnwIVBqHOz+k6imOFEzEhxZs+hIlRnnS93zVVw2RyXRpvVqvS0pJys0O4RSP1wNgfKu8&#10;ZcmoOdADZl3F6T3GsXQuSd2cv9fGUFxUxv0VIMwxovIWTLcTk3HiZMVhP0w09r45E7ueNqHmjhaf&#10;M/POkdBpaWYDZmM/G8cA+tDRoMs8JYbbY6SR8qSpwwhLDJNDT5i5TuuWduRPP1c9/mL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ZoPcHzwEAAKoDAAAOAAAAAAAAAAEAIAAAAB4BAABkcnMv&#10;ZTJvRG9jLnhtbFBLBQYAAAAABgAGAFkBAABfBQAAAAA=&#10;">
                  <v:fill on="f" focussize="0,0"/>
                  <v:stroke on="f"/>
                  <v:imagedata o:title=""/>
                  <o:lock v:ext="edit" aspectratio="f"/>
                  <v:textbox inset="0mm,0mm,0mm,0mm" style="mso-fit-shape-to-text:t;">
                    <w:txbxContent>
                      <w:p>
                        <w:pPr>
                          <w:pStyle w:val="6"/>
                          <w:jc w:val="center"/>
                        </w:pPr>
                        <w:r>
                          <w:rPr>
                            <w:lang w:val="zh-CN"/>
                          </w:rPr>
                          <w:t xml:space="preserve"> </w:t>
                        </w:r>
                        <w:r>
                          <w:rPr>
                            <w:b/>
                            <w:sz w:val="24"/>
                          </w:rPr>
                          <w:fldChar w:fldCharType="begin"/>
                        </w:r>
                        <w:r>
                          <w:rPr>
                            <w:b/>
                          </w:rPr>
                          <w:instrText xml:space="preserve">PAGE</w:instrText>
                        </w:r>
                        <w:r>
                          <w:rPr>
                            <w:b/>
                            <w:sz w:val="24"/>
                          </w:rPr>
                          <w:fldChar w:fldCharType="separate"/>
                        </w:r>
                        <w:r>
                          <w:rPr>
                            <w:b/>
                          </w:rPr>
                          <w:t>1</w:t>
                        </w:r>
                        <w:r>
                          <w:rPr>
                            <w:b/>
                            <w:sz w:val="24"/>
                          </w:rPr>
                          <w:fldChar w:fldCharType="end"/>
                        </w:r>
                        <w:r>
                          <w:rPr>
                            <w:lang w:val="zh-CN"/>
                          </w:rPr>
                          <w:t xml:space="preserve"> / </w:t>
                        </w:r>
                        <w:r>
                          <w:rPr>
                            <w:b/>
                            <w:sz w:val="24"/>
                          </w:rPr>
                          <w:fldChar w:fldCharType="begin"/>
                        </w:r>
                        <w:r>
                          <w:rPr>
                            <w:b/>
                          </w:rPr>
                          <w:instrText xml:space="preserve">NUMPAGES</w:instrText>
                        </w:r>
                        <w:r>
                          <w:rPr>
                            <w:b/>
                            <w:sz w:val="24"/>
                          </w:rPr>
                          <w:fldChar w:fldCharType="separate"/>
                        </w:r>
                        <w:r>
                          <w:rPr>
                            <w:b/>
                          </w:rPr>
                          <w:t>4</w:t>
                        </w:r>
                        <w:r>
                          <w:rPr>
                            <w:b/>
                            <w:sz w:val="24"/>
                          </w:rPr>
                          <w:fldChar w:fldCharType="end"/>
                        </w:r>
                      </w:p>
                    </w:txbxContent>
                  </v:textbox>
                </v:shape>
              </w:pict>
            </mc:Fallback>
          </mc:AlternateContent>
        </w:r>
      </w:p>
      <w:p>
        <w:pPr>
          <w:pStyle w:val="6"/>
        </w:pPr>
      </w:p>
    </w:sdtContent>
  </w:sdt>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7E8738"/>
    <w:multiLevelType w:val="singleLevel"/>
    <w:tmpl w:val="1E7E873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RlNTJmMzZhOWRkMDkzMjk2ZDE3Mjk4OWQ4OWJmNDUifQ=="/>
  </w:docVars>
  <w:rsids>
    <w:rsidRoot w:val="027725AF"/>
    <w:rsid w:val="00000267"/>
    <w:rsid w:val="00000AF6"/>
    <w:rsid w:val="000037D6"/>
    <w:rsid w:val="00016B72"/>
    <w:rsid w:val="00016CFA"/>
    <w:rsid w:val="00032AF7"/>
    <w:rsid w:val="00036444"/>
    <w:rsid w:val="00040389"/>
    <w:rsid w:val="00043BEF"/>
    <w:rsid w:val="00055296"/>
    <w:rsid w:val="0005569D"/>
    <w:rsid w:val="00065257"/>
    <w:rsid w:val="00066D4C"/>
    <w:rsid w:val="00074768"/>
    <w:rsid w:val="00081E39"/>
    <w:rsid w:val="00096BAD"/>
    <w:rsid w:val="000B21A6"/>
    <w:rsid w:val="000C5864"/>
    <w:rsid w:val="00117C20"/>
    <w:rsid w:val="00130612"/>
    <w:rsid w:val="00136269"/>
    <w:rsid w:val="00146FBB"/>
    <w:rsid w:val="00152E6E"/>
    <w:rsid w:val="001564F2"/>
    <w:rsid w:val="00164D4A"/>
    <w:rsid w:val="00175A71"/>
    <w:rsid w:val="00192EE9"/>
    <w:rsid w:val="00194BEB"/>
    <w:rsid w:val="00195251"/>
    <w:rsid w:val="00197F85"/>
    <w:rsid w:val="001B6462"/>
    <w:rsid w:val="001D1D4A"/>
    <w:rsid w:val="001F6B01"/>
    <w:rsid w:val="00211A01"/>
    <w:rsid w:val="00215636"/>
    <w:rsid w:val="0022457A"/>
    <w:rsid w:val="00227ED6"/>
    <w:rsid w:val="00233B6F"/>
    <w:rsid w:val="00234D13"/>
    <w:rsid w:val="00250AE8"/>
    <w:rsid w:val="002616DE"/>
    <w:rsid w:val="0028176C"/>
    <w:rsid w:val="00293A7C"/>
    <w:rsid w:val="002B39B0"/>
    <w:rsid w:val="002B4E7E"/>
    <w:rsid w:val="002B5F04"/>
    <w:rsid w:val="002B6F96"/>
    <w:rsid w:val="002C528F"/>
    <w:rsid w:val="002E2203"/>
    <w:rsid w:val="002F3366"/>
    <w:rsid w:val="002F4E01"/>
    <w:rsid w:val="00327DF3"/>
    <w:rsid w:val="00341440"/>
    <w:rsid w:val="00342D38"/>
    <w:rsid w:val="00345474"/>
    <w:rsid w:val="003662C2"/>
    <w:rsid w:val="0037094F"/>
    <w:rsid w:val="00373B81"/>
    <w:rsid w:val="003853F3"/>
    <w:rsid w:val="003874BF"/>
    <w:rsid w:val="003A7C0C"/>
    <w:rsid w:val="003F6DDB"/>
    <w:rsid w:val="00411292"/>
    <w:rsid w:val="00421D5E"/>
    <w:rsid w:val="004312C9"/>
    <w:rsid w:val="00440D87"/>
    <w:rsid w:val="00447001"/>
    <w:rsid w:val="00464791"/>
    <w:rsid w:val="00467A71"/>
    <w:rsid w:val="00473434"/>
    <w:rsid w:val="004A1404"/>
    <w:rsid w:val="004A74A4"/>
    <w:rsid w:val="004C0717"/>
    <w:rsid w:val="004C251B"/>
    <w:rsid w:val="004C733E"/>
    <w:rsid w:val="004E0D9B"/>
    <w:rsid w:val="004E2F53"/>
    <w:rsid w:val="005002B7"/>
    <w:rsid w:val="00500E4E"/>
    <w:rsid w:val="0050691E"/>
    <w:rsid w:val="00507EB2"/>
    <w:rsid w:val="0052211A"/>
    <w:rsid w:val="00524703"/>
    <w:rsid w:val="0053033B"/>
    <w:rsid w:val="00535647"/>
    <w:rsid w:val="005472B7"/>
    <w:rsid w:val="00553084"/>
    <w:rsid w:val="0055425D"/>
    <w:rsid w:val="00565BCE"/>
    <w:rsid w:val="00587AFC"/>
    <w:rsid w:val="005A38AB"/>
    <w:rsid w:val="005C012E"/>
    <w:rsid w:val="005C193F"/>
    <w:rsid w:val="005C7E9E"/>
    <w:rsid w:val="005D041B"/>
    <w:rsid w:val="005D4C82"/>
    <w:rsid w:val="005F515D"/>
    <w:rsid w:val="005F7FB0"/>
    <w:rsid w:val="00607917"/>
    <w:rsid w:val="00613393"/>
    <w:rsid w:val="006332AB"/>
    <w:rsid w:val="00643222"/>
    <w:rsid w:val="00646CFF"/>
    <w:rsid w:val="00654BD2"/>
    <w:rsid w:val="006933D1"/>
    <w:rsid w:val="00693913"/>
    <w:rsid w:val="00695736"/>
    <w:rsid w:val="006A0103"/>
    <w:rsid w:val="006F040B"/>
    <w:rsid w:val="00702D3D"/>
    <w:rsid w:val="00710570"/>
    <w:rsid w:val="00743541"/>
    <w:rsid w:val="00762772"/>
    <w:rsid w:val="0077615F"/>
    <w:rsid w:val="00790665"/>
    <w:rsid w:val="007943B1"/>
    <w:rsid w:val="007A12E1"/>
    <w:rsid w:val="007A320E"/>
    <w:rsid w:val="007A3E4E"/>
    <w:rsid w:val="007B6779"/>
    <w:rsid w:val="007D756B"/>
    <w:rsid w:val="007E3690"/>
    <w:rsid w:val="007E613A"/>
    <w:rsid w:val="007F2B11"/>
    <w:rsid w:val="007F33E6"/>
    <w:rsid w:val="007F772E"/>
    <w:rsid w:val="00810F87"/>
    <w:rsid w:val="00842ECF"/>
    <w:rsid w:val="008639CD"/>
    <w:rsid w:val="00876B88"/>
    <w:rsid w:val="00880FA8"/>
    <w:rsid w:val="008A5819"/>
    <w:rsid w:val="008A6F6D"/>
    <w:rsid w:val="008E55FC"/>
    <w:rsid w:val="008F43D9"/>
    <w:rsid w:val="008F4E7C"/>
    <w:rsid w:val="008F6ACD"/>
    <w:rsid w:val="00913249"/>
    <w:rsid w:val="009179BB"/>
    <w:rsid w:val="00917A0A"/>
    <w:rsid w:val="0092262F"/>
    <w:rsid w:val="00924FAB"/>
    <w:rsid w:val="00950093"/>
    <w:rsid w:val="009604B4"/>
    <w:rsid w:val="00984BEE"/>
    <w:rsid w:val="009852DA"/>
    <w:rsid w:val="009A1A7C"/>
    <w:rsid w:val="009B3DE4"/>
    <w:rsid w:val="009B5110"/>
    <w:rsid w:val="009B7D74"/>
    <w:rsid w:val="009C06B8"/>
    <w:rsid w:val="009C60B9"/>
    <w:rsid w:val="009D788D"/>
    <w:rsid w:val="009F5D10"/>
    <w:rsid w:val="00A2229B"/>
    <w:rsid w:val="00A85295"/>
    <w:rsid w:val="00A94C45"/>
    <w:rsid w:val="00AB0A83"/>
    <w:rsid w:val="00AB5743"/>
    <w:rsid w:val="00AC3F2C"/>
    <w:rsid w:val="00AE553B"/>
    <w:rsid w:val="00B10D67"/>
    <w:rsid w:val="00B22E91"/>
    <w:rsid w:val="00B23F88"/>
    <w:rsid w:val="00B377F6"/>
    <w:rsid w:val="00B54408"/>
    <w:rsid w:val="00B67C79"/>
    <w:rsid w:val="00B72C76"/>
    <w:rsid w:val="00B77F33"/>
    <w:rsid w:val="00B90DE2"/>
    <w:rsid w:val="00BA0DB4"/>
    <w:rsid w:val="00BA5008"/>
    <w:rsid w:val="00BC11E3"/>
    <w:rsid w:val="00BC3D3B"/>
    <w:rsid w:val="00BC522A"/>
    <w:rsid w:val="00BE1E32"/>
    <w:rsid w:val="00C23FE8"/>
    <w:rsid w:val="00C5781C"/>
    <w:rsid w:val="00C61C7C"/>
    <w:rsid w:val="00C746B4"/>
    <w:rsid w:val="00C74F95"/>
    <w:rsid w:val="00C97AFE"/>
    <w:rsid w:val="00C97C1D"/>
    <w:rsid w:val="00CD392D"/>
    <w:rsid w:val="00CE118C"/>
    <w:rsid w:val="00CF6139"/>
    <w:rsid w:val="00D00163"/>
    <w:rsid w:val="00D0391F"/>
    <w:rsid w:val="00D03BD0"/>
    <w:rsid w:val="00D076B0"/>
    <w:rsid w:val="00D46D87"/>
    <w:rsid w:val="00D47646"/>
    <w:rsid w:val="00D92351"/>
    <w:rsid w:val="00D932D0"/>
    <w:rsid w:val="00D93DC8"/>
    <w:rsid w:val="00DB0806"/>
    <w:rsid w:val="00DB5AE3"/>
    <w:rsid w:val="00DC1A43"/>
    <w:rsid w:val="00DE464A"/>
    <w:rsid w:val="00E11B06"/>
    <w:rsid w:val="00E12FB0"/>
    <w:rsid w:val="00E21F2C"/>
    <w:rsid w:val="00E35651"/>
    <w:rsid w:val="00E401BC"/>
    <w:rsid w:val="00E60436"/>
    <w:rsid w:val="00E63293"/>
    <w:rsid w:val="00E71C5B"/>
    <w:rsid w:val="00E83CF9"/>
    <w:rsid w:val="00E95BEF"/>
    <w:rsid w:val="00EA68FA"/>
    <w:rsid w:val="00EC3435"/>
    <w:rsid w:val="00EF1CFE"/>
    <w:rsid w:val="00EF37C2"/>
    <w:rsid w:val="00F02C56"/>
    <w:rsid w:val="00F066CA"/>
    <w:rsid w:val="00F067C6"/>
    <w:rsid w:val="00F4069E"/>
    <w:rsid w:val="00F41EF2"/>
    <w:rsid w:val="00F42A70"/>
    <w:rsid w:val="00F437EE"/>
    <w:rsid w:val="00F75603"/>
    <w:rsid w:val="00F801B8"/>
    <w:rsid w:val="00F82B4B"/>
    <w:rsid w:val="00F965F2"/>
    <w:rsid w:val="00FA3C7F"/>
    <w:rsid w:val="00FE1DDB"/>
    <w:rsid w:val="00FE3A8C"/>
    <w:rsid w:val="00FF4826"/>
    <w:rsid w:val="027725AF"/>
    <w:rsid w:val="126775F5"/>
    <w:rsid w:val="140524A5"/>
    <w:rsid w:val="17A84A31"/>
    <w:rsid w:val="18AC198D"/>
    <w:rsid w:val="1A362D0A"/>
    <w:rsid w:val="1A9A1AE2"/>
    <w:rsid w:val="1B7A09AE"/>
    <w:rsid w:val="1DB403E5"/>
    <w:rsid w:val="1F0C2891"/>
    <w:rsid w:val="1FF004A0"/>
    <w:rsid w:val="21F75571"/>
    <w:rsid w:val="26AC3567"/>
    <w:rsid w:val="27094723"/>
    <w:rsid w:val="28E070A3"/>
    <w:rsid w:val="2A710EAE"/>
    <w:rsid w:val="2B9A59A4"/>
    <w:rsid w:val="2D887C39"/>
    <w:rsid w:val="2D993838"/>
    <w:rsid w:val="2E110DC4"/>
    <w:rsid w:val="2F3E3078"/>
    <w:rsid w:val="33712CFE"/>
    <w:rsid w:val="33895773"/>
    <w:rsid w:val="3C740147"/>
    <w:rsid w:val="3C92069F"/>
    <w:rsid w:val="3E9B4363"/>
    <w:rsid w:val="3EEE625E"/>
    <w:rsid w:val="3FF0008C"/>
    <w:rsid w:val="443A5766"/>
    <w:rsid w:val="44746547"/>
    <w:rsid w:val="49F94296"/>
    <w:rsid w:val="4BF76F64"/>
    <w:rsid w:val="4EBD0A92"/>
    <w:rsid w:val="51550FFA"/>
    <w:rsid w:val="579F1125"/>
    <w:rsid w:val="5A3921D0"/>
    <w:rsid w:val="5DC71851"/>
    <w:rsid w:val="656A70AF"/>
    <w:rsid w:val="66AA15BF"/>
    <w:rsid w:val="69340CF8"/>
    <w:rsid w:val="6C171CF3"/>
    <w:rsid w:val="6DDF526D"/>
    <w:rsid w:val="703C076A"/>
    <w:rsid w:val="744B3E55"/>
    <w:rsid w:val="7BDA70B6"/>
    <w:rsid w:val="7C115C9E"/>
    <w:rsid w:val="7E2C2E60"/>
    <w:rsid w:val="7EA220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qFormat/>
    <w:uiPriority w:val="0"/>
    <w:pPr>
      <w:widowControl/>
      <w:jc w:val="left"/>
    </w:pPr>
    <w:rPr>
      <w:kern w:val="0"/>
      <w:szCs w:val="20"/>
    </w:rPr>
  </w:style>
  <w:style w:type="paragraph" w:styleId="3">
    <w:name w:val="Body Text"/>
    <w:basedOn w:val="1"/>
    <w:next w:val="4"/>
    <w:qFormat/>
    <w:uiPriority w:val="0"/>
    <w:pPr>
      <w:spacing w:after="120"/>
    </w:pPr>
  </w:style>
  <w:style w:type="paragraph" w:styleId="4">
    <w:name w:val="toc 5"/>
    <w:basedOn w:val="1"/>
    <w:next w:val="1"/>
    <w:qFormat/>
    <w:uiPriority w:val="0"/>
    <w:pPr>
      <w:ind w:left="1680" w:leftChars="800"/>
    </w:pPr>
  </w:style>
  <w:style w:type="paragraph" w:styleId="5">
    <w:name w:val="Balloon Text"/>
    <w:basedOn w:val="1"/>
    <w:link w:val="17"/>
    <w:qFormat/>
    <w:uiPriority w:val="0"/>
    <w:rPr>
      <w:sz w:val="18"/>
      <w:szCs w:val="18"/>
    </w:rPr>
  </w:style>
  <w:style w:type="paragraph" w:styleId="6">
    <w:name w:val="footer"/>
    <w:basedOn w:val="1"/>
    <w:link w:val="19"/>
    <w:qFormat/>
    <w:uiPriority w:val="99"/>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annotation subject"/>
    <w:basedOn w:val="2"/>
    <w:next w:val="2"/>
    <w:link w:val="16"/>
    <w:qFormat/>
    <w:uiPriority w:val="0"/>
    <w:pPr>
      <w:widowControl w:val="0"/>
    </w:pPr>
    <w:rPr>
      <w:b/>
      <w:bCs/>
      <w:kern w:val="2"/>
      <w:szCs w:val="24"/>
    </w:rPr>
  </w:style>
  <w:style w:type="paragraph" w:styleId="9">
    <w:name w:val="Body Text First Indent"/>
    <w:basedOn w:val="3"/>
    <w:next w:val="1"/>
    <w:qFormat/>
    <w:uiPriority w:val="0"/>
    <w:pPr>
      <w:spacing w:after="0" w:line="360" w:lineRule="auto"/>
      <w:ind w:firstLine="425"/>
    </w:pPr>
    <w:rPr>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annotation reference"/>
    <w:basedOn w:val="12"/>
    <w:qFormat/>
    <w:uiPriority w:val="0"/>
    <w:rPr>
      <w:sz w:val="21"/>
      <w:szCs w:val="21"/>
    </w:rPr>
  </w:style>
  <w:style w:type="paragraph" w:styleId="14">
    <w:name w:val="List Paragraph"/>
    <w:basedOn w:val="1"/>
    <w:unhideWhenUsed/>
    <w:qFormat/>
    <w:uiPriority w:val="99"/>
    <w:pPr>
      <w:ind w:firstLine="420" w:firstLineChars="200"/>
    </w:pPr>
  </w:style>
  <w:style w:type="character" w:customStyle="1" w:styleId="15">
    <w:name w:val="批注文字 Char"/>
    <w:basedOn w:val="12"/>
    <w:link w:val="2"/>
    <w:qFormat/>
    <w:uiPriority w:val="0"/>
    <w:rPr>
      <w:rFonts w:asciiTheme="minorHAnsi" w:hAnsiTheme="minorHAnsi" w:eastAsiaTheme="minorEastAsia" w:cstheme="minorBidi"/>
      <w:sz w:val="21"/>
    </w:rPr>
  </w:style>
  <w:style w:type="character" w:customStyle="1" w:styleId="16">
    <w:name w:val="批注主题 Char"/>
    <w:basedOn w:val="15"/>
    <w:link w:val="8"/>
    <w:qFormat/>
    <w:uiPriority w:val="0"/>
    <w:rPr>
      <w:rFonts w:asciiTheme="minorHAnsi" w:hAnsiTheme="minorHAnsi" w:eastAsiaTheme="minorEastAsia" w:cstheme="minorBidi"/>
      <w:sz w:val="21"/>
    </w:rPr>
  </w:style>
  <w:style w:type="character" w:customStyle="1" w:styleId="17">
    <w:name w:val="批注框文本 Char"/>
    <w:basedOn w:val="12"/>
    <w:link w:val="5"/>
    <w:qFormat/>
    <w:uiPriority w:val="0"/>
    <w:rPr>
      <w:rFonts w:asciiTheme="minorHAnsi" w:hAnsiTheme="minorHAnsi" w:eastAsiaTheme="minorEastAsia" w:cstheme="minorBidi"/>
      <w:kern w:val="2"/>
      <w:sz w:val="18"/>
      <w:szCs w:val="18"/>
    </w:rPr>
  </w:style>
  <w:style w:type="paragraph" w:customStyle="1" w:styleId="18">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9">
    <w:name w:val="页脚 Char"/>
    <w:basedOn w:val="12"/>
    <w:link w:val="6"/>
    <w:qFormat/>
    <w:uiPriority w:val="99"/>
    <w:rPr>
      <w:rFonts w:asciiTheme="minorHAnsi" w:hAnsiTheme="minorHAnsi" w:eastAsiaTheme="minorEastAsia" w:cstheme="minorBidi"/>
      <w:kern w:val="2"/>
      <w:sz w:val="18"/>
      <w:szCs w:val="24"/>
    </w:rPr>
  </w:style>
  <w:style w:type="character" w:customStyle="1" w:styleId="20">
    <w:name w:val="fontstyle01"/>
    <w:basedOn w:val="12"/>
    <w:qFormat/>
    <w:uiPriority w:val="0"/>
    <w:rPr>
      <w:rFonts w:ascii="宋体" w:hAnsi="宋体" w:eastAsia="宋体" w:cs="宋体"/>
      <w:color w:val="00000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F9C83F-7444-4ECB-940A-0B769A44F9C7}">
  <ds:schemaRefs/>
</ds:datastoreItem>
</file>

<file path=docProps/app.xml><?xml version="1.0" encoding="utf-8"?>
<Properties xmlns="http://schemas.openxmlformats.org/officeDocument/2006/extended-properties" xmlns:vt="http://schemas.openxmlformats.org/officeDocument/2006/docPropsVTypes">
  <Template>Normal.dotm</Template>
  <Pages>4</Pages>
  <Words>2098</Words>
  <Characters>2218</Characters>
  <Lines>16</Lines>
  <Paragraphs>4</Paragraphs>
  <TotalTime>127</TotalTime>
  <ScaleCrop>false</ScaleCrop>
  <LinksUpToDate>false</LinksUpToDate>
  <CharactersWithSpaces>2229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2020-11-05T08:46:00Z</dcterms:created>
  <dc:creator>Administrator</dc:creator>
  <cp:lastModifiedBy>Rebecca</cp:lastModifiedBy>
  <cp:lastPrinted>2021-08-11T08:36:00Z</cp:lastPrinted>
  <dcterms:modified xsi:type="dcterms:W3CDTF">2022-05-27T08:35:48Z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7544D7752078451DB4D263B2C641A355</vt:lpwstr>
  </property>
</Properties>
</file>