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pacing w:val="30"/>
          <w:kern w:val="0"/>
          <w:sz w:val="36"/>
          <w:szCs w:val="36"/>
          <w:highlight w:val="none"/>
          <w:fitText w:val="5400" w:id="1131182876"/>
        </w:rPr>
        <w:t>项目名称：食堂经营场地招</w:t>
      </w:r>
      <w:r>
        <w:rPr>
          <w:rFonts w:hint="eastAsia" w:ascii="宋体" w:hAnsi="宋体" w:eastAsia="宋体" w:cs="宋体"/>
          <w:b/>
          <w:bCs/>
          <w:color w:val="auto"/>
          <w:spacing w:val="0"/>
          <w:kern w:val="0"/>
          <w:sz w:val="36"/>
          <w:szCs w:val="36"/>
          <w:highlight w:val="none"/>
          <w:fitText w:val="5400" w:id="1131182876"/>
        </w:rPr>
        <w:t>租</w:t>
      </w:r>
    </w:p>
    <w:p>
      <w:pPr>
        <w:pStyle w:val="2"/>
        <w:rPr>
          <w:rFonts w:hint="eastAsia"/>
          <w:lang w:val="en-US" w:eastAsia="zh-CN"/>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5"/>
        <w:rPr>
          <w:rFonts w:hint="eastAsia" w:ascii="宋体" w:hAnsi="宋体" w:eastAsia="宋体" w:cs="宋体"/>
          <w:b/>
          <w:bCs/>
          <w:color w:val="auto"/>
          <w:sz w:val="36"/>
          <w:szCs w:val="36"/>
          <w:highlight w:val="none"/>
          <w:u w:val="single"/>
        </w:rPr>
      </w:pPr>
    </w:p>
    <w:p>
      <w:pPr>
        <w:pStyle w:val="6"/>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highlight w:val="none"/>
            </w:rPr>
          </w:pPr>
        </w:p>
        <w:p>
          <w:pPr>
            <w:pStyle w:val="11"/>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31</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36</w:t>
          </w:r>
          <w:r>
            <w:fldChar w:fldCharType="end"/>
          </w:r>
          <w:r>
            <w:rPr>
              <w:rFonts w:hint="eastAsia" w:ascii="宋体" w:hAnsi="宋体" w:eastAsia="宋体" w:cs="宋体"/>
              <w:color w:val="auto"/>
              <w:szCs w:val="24"/>
              <w:highlight w:val="none"/>
            </w:rPr>
            <w:fldChar w:fldCharType="end"/>
          </w:r>
        </w:p>
        <w:p>
          <w:pPr>
            <w:pStyle w:val="12"/>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cs="宋体"/>
          <w:color w:val="auto"/>
          <w:sz w:val="27"/>
          <w:szCs w:val="27"/>
          <w:highlight w:val="none"/>
          <w:shd w:val="clear" w:color="auto" w:fill="FFFFFF"/>
          <w:lang w:val="en-US" w:eastAsia="zh-CN"/>
        </w:rPr>
        <w:t>院内谈判（</w:t>
      </w:r>
      <w:r>
        <w:rPr>
          <w:rFonts w:hint="eastAsia" w:ascii="宋体" w:hAnsi="宋体" w:eastAsia="宋体" w:cs="宋体"/>
          <w:color w:val="auto"/>
          <w:sz w:val="28"/>
          <w:szCs w:val="28"/>
          <w:highlight w:val="none"/>
          <w:u w:val="none"/>
          <w:lang w:val="en-US" w:eastAsia="zh-CN"/>
        </w:rPr>
        <w:t>综合评审最优</w:t>
      </w:r>
      <w:r>
        <w:rPr>
          <w:rFonts w:hint="eastAsia" w:cs="宋体"/>
          <w:color w:val="auto"/>
          <w:sz w:val="27"/>
          <w:szCs w:val="27"/>
          <w:highlight w:val="none"/>
          <w:shd w:val="clear" w:color="auto" w:fill="FFFFFF"/>
          <w:lang w:val="en-US" w:eastAsia="zh-CN"/>
        </w:rPr>
        <w:t>）</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cs="宋体"/>
          <w:color w:val="auto"/>
          <w:sz w:val="27"/>
          <w:szCs w:val="27"/>
          <w:highlight w:val="none"/>
          <w:shd w:val="clear" w:color="auto" w:fill="FFFFFF"/>
          <w:lang w:val="en-US" w:eastAsia="zh-CN"/>
        </w:rPr>
      </w:pPr>
      <w:r>
        <w:rPr>
          <w:rFonts w:hint="eastAsia" w:cs="宋体"/>
          <w:color w:val="auto"/>
          <w:sz w:val="27"/>
          <w:szCs w:val="27"/>
          <w:highlight w:val="none"/>
          <w:shd w:val="clear" w:color="auto" w:fill="FFFFFF"/>
          <w:lang w:val="en-US" w:eastAsia="zh-CN"/>
        </w:rPr>
        <w:t>最低租金</w:t>
      </w:r>
      <w:r>
        <w:rPr>
          <w:rFonts w:hint="eastAsia" w:ascii="宋体" w:hAnsi="宋体" w:eastAsia="宋体" w:cs="宋体"/>
          <w:color w:val="auto"/>
          <w:sz w:val="27"/>
          <w:szCs w:val="27"/>
          <w:highlight w:val="none"/>
          <w:shd w:val="clear" w:color="auto" w:fill="FFFFFF"/>
        </w:rPr>
        <w:t>：</w:t>
      </w:r>
      <w:r>
        <w:rPr>
          <w:rFonts w:hint="eastAsia" w:cs="宋体"/>
          <w:color w:val="auto"/>
          <w:sz w:val="27"/>
          <w:szCs w:val="27"/>
          <w:highlight w:val="none"/>
          <w:shd w:val="clear" w:color="auto" w:fill="FFFFFF"/>
          <w:lang w:val="en-US" w:eastAsia="zh-CN"/>
        </w:rPr>
        <w:t>9736元/月</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lang w:val="en-US" w:eastAsia="zh-CN"/>
        </w:rPr>
      </w:pPr>
      <w:r>
        <w:rPr>
          <w:rFonts w:hint="eastAsia" w:cs="宋体"/>
          <w:color w:val="auto"/>
          <w:sz w:val="27"/>
          <w:szCs w:val="27"/>
          <w:highlight w:val="none"/>
          <w:shd w:val="clear" w:color="auto" w:fill="FFFFFF"/>
          <w:lang w:val="en-US" w:eastAsia="zh-CN"/>
        </w:rPr>
        <w:t>服务年限：3年</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14"/>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774"/>
        <w:gridCol w:w="1338"/>
        <w:gridCol w:w="1748"/>
        <w:gridCol w:w="738"/>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23" w:type="dxa"/>
            <w:vAlign w:val="center"/>
          </w:tcPr>
          <w:p>
            <w:pPr>
              <w:jc w:val="center"/>
              <w:rPr>
                <w:rFonts w:ascii="宋体" w:hAnsi="宋体" w:cs="宋体"/>
                <w:b/>
                <w:szCs w:val="21"/>
                <w:highlight w:val="none"/>
              </w:rPr>
            </w:pPr>
            <w:r>
              <w:rPr>
                <w:rFonts w:hint="eastAsia" w:ascii="宋体" w:hAnsi="宋体" w:cs="宋体"/>
                <w:b/>
                <w:szCs w:val="21"/>
                <w:highlight w:val="none"/>
              </w:rPr>
              <w:t>序号</w:t>
            </w:r>
          </w:p>
        </w:tc>
        <w:tc>
          <w:tcPr>
            <w:tcW w:w="1774" w:type="dxa"/>
            <w:vAlign w:val="center"/>
          </w:tcPr>
          <w:p>
            <w:pPr>
              <w:jc w:val="center"/>
              <w:rPr>
                <w:rFonts w:ascii="宋体" w:hAnsi="宋体" w:cs="宋体"/>
                <w:b/>
                <w:szCs w:val="21"/>
                <w:highlight w:val="none"/>
              </w:rPr>
            </w:pPr>
            <w:r>
              <w:rPr>
                <w:rFonts w:hint="eastAsia" w:ascii="宋体" w:hAnsi="宋体" w:cs="宋体"/>
                <w:b/>
                <w:szCs w:val="21"/>
                <w:highlight w:val="none"/>
              </w:rPr>
              <w:t>招标人（采购人）</w:t>
            </w:r>
          </w:p>
        </w:tc>
        <w:tc>
          <w:tcPr>
            <w:tcW w:w="1338" w:type="dxa"/>
            <w:vAlign w:val="center"/>
          </w:tcPr>
          <w:p>
            <w:pPr>
              <w:jc w:val="center"/>
              <w:rPr>
                <w:rFonts w:ascii="宋体" w:hAnsi="宋体" w:cs="宋体"/>
                <w:b/>
                <w:szCs w:val="21"/>
                <w:highlight w:val="none"/>
              </w:rPr>
            </w:pPr>
            <w:r>
              <w:rPr>
                <w:rFonts w:hint="eastAsia" w:ascii="宋体" w:hAnsi="宋体" w:cs="宋体"/>
                <w:b/>
                <w:szCs w:val="21"/>
                <w:highlight w:val="none"/>
              </w:rPr>
              <w:t>采购内容</w:t>
            </w:r>
          </w:p>
        </w:tc>
        <w:tc>
          <w:tcPr>
            <w:tcW w:w="1748" w:type="dxa"/>
            <w:vAlign w:val="center"/>
          </w:tcPr>
          <w:p>
            <w:pPr>
              <w:jc w:val="center"/>
              <w:rPr>
                <w:rFonts w:ascii="宋体" w:hAnsi="宋体"/>
                <w:b/>
                <w:szCs w:val="21"/>
                <w:highlight w:val="none"/>
              </w:rPr>
            </w:pPr>
            <w:r>
              <w:rPr>
                <w:rFonts w:hint="eastAsia" w:ascii="宋体" w:hAnsi="宋体"/>
                <w:b/>
                <w:szCs w:val="21"/>
                <w:highlight w:val="none"/>
              </w:rPr>
              <w:t>技术参数要求</w:t>
            </w:r>
          </w:p>
        </w:tc>
        <w:tc>
          <w:tcPr>
            <w:tcW w:w="738" w:type="dxa"/>
            <w:vAlign w:val="center"/>
          </w:tcPr>
          <w:p>
            <w:pPr>
              <w:jc w:val="center"/>
              <w:rPr>
                <w:rFonts w:ascii="宋体" w:hAnsi="宋体" w:cs="宋体"/>
                <w:b/>
                <w:szCs w:val="21"/>
                <w:highlight w:val="none"/>
              </w:rPr>
            </w:pPr>
            <w:r>
              <w:rPr>
                <w:rFonts w:hint="eastAsia" w:ascii="宋体" w:hAnsi="宋体" w:cs="宋体"/>
                <w:b/>
                <w:szCs w:val="21"/>
                <w:highlight w:val="none"/>
              </w:rPr>
              <w:t>服务年限</w:t>
            </w:r>
          </w:p>
        </w:tc>
        <w:tc>
          <w:tcPr>
            <w:tcW w:w="1936" w:type="dxa"/>
            <w:vAlign w:val="center"/>
          </w:tcPr>
          <w:p>
            <w:pPr>
              <w:jc w:val="center"/>
              <w:rPr>
                <w:rFonts w:ascii="宋体" w:hAnsi="宋体" w:cs="宋体"/>
                <w:b/>
                <w:szCs w:val="21"/>
                <w:highlight w:val="none"/>
              </w:rPr>
            </w:pPr>
            <w:r>
              <w:rPr>
                <w:rFonts w:hint="eastAsia" w:ascii="宋体" w:hAnsi="宋体" w:cs="宋体"/>
                <w:b/>
                <w:szCs w:val="21"/>
                <w:highlight w:val="none"/>
              </w:rPr>
              <w:t>最低租金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23"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774" w:type="dxa"/>
            <w:vAlign w:val="center"/>
          </w:tcPr>
          <w:p>
            <w:pPr>
              <w:jc w:val="center"/>
              <w:rPr>
                <w:rFonts w:ascii="宋体" w:hAnsi="宋体"/>
                <w:szCs w:val="21"/>
                <w:highlight w:val="none"/>
              </w:rPr>
            </w:pPr>
            <w:r>
              <w:rPr>
                <w:rFonts w:hint="eastAsia" w:ascii="宋体" w:hAnsi="宋体"/>
                <w:szCs w:val="21"/>
                <w:highlight w:val="none"/>
              </w:rPr>
              <w:t>中山市小榄人民医院</w:t>
            </w:r>
          </w:p>
        </w:tc>
        <w:tc>
          <w:tcPr>
            <w:tcW w:w="1338" w:type="dxa"/>
            <w:vAlign w:val="center"/>
          </w:tcPr>
          <w:p>
            <w:pPr>
              <w:jc w:val="center"/>
              <w:rPr>
                <w:rFonts w:ascii="宋体" w:hAnsi="宋体" w:cs="宋体"/>
                <w:szCs w:val="21"/>
                <w:highlight w:val="none"/>
              </w:rPr>
            </w:pPr>
            <w:r>
              <w:rPr>
                <w:rFonts w:hint="eastAsia" w:ascii="宋体" w:hAnsi="宋体"/>
                <w:szCs w:val="21"/>
                <w:highlight w:val="none"/>
              </w:rPr>
              <w:t>食堂经营场地招租</w:t>
            </w:r>
          </w:p>
        </w:tc>
        <w:tc>
          <w:tcPr>
            <w:tcW w:w="1748"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rPr>
              <w:t>详见</w:t>
            </w:r>
            <w:r>
              <w:rPr>
                <w:rFonts w:hint="eastAsia" w:ascii="宋体" w:hAnsi="宋体"/>
                <w:szCs w:val="21"/>
                <w:highlight w:val="none"/>
                <w:lang w:eastAsia="zh-CN"/>
              </w:rPr>
              <w:t>《</w:t>
            </w:r>
            <w:r>
              <w:rPr>
                <w:rFonts w:hint="eastAsia" w:ascii="宋体" w:hAnsi="宋体"/>
                <w:szCs w:val="21"/>
                <w:highlight w:val="none"/>
                <w:lang w:val="en-US" w:eastAsia="zh-CN"/>
              </w:rPr>
              <w:t>谈判文件</w:t>
            </w:r>
            <w:r>
              <w:rPr>
                <w:rFonts w:hint="eastAsia" w:ascii="宋体" w:hAnsi="宋体"/>
                <w:szCs w:val="21"/>
                <w:highlight w:val="none"/>
                <w:lang w:eastAsia="zh-CN"/>
              </w:rPr>
              <w:t>》</w:t>
            </w:r>
          </w:p>
          <w:p>
            <w:pPr>
              <w:jc w:val="center"/>
              <w:rPr>
                <w:rFonts w:ascii="宋体" w:hAnsi="宋体"/>
                <w:szCs w:val="21"/>
                <w:highlight w:val="none"/>
              </w:rPr>
            </w:pPr>
            <w:r>
              <w:rPr>
                <w:rFonts w:hint="eastAsia" w:ascii="宋体" w:hAnsi="宋体"/>
                <w:szCs w:val="21"/>
                <w:highlight w:val="none"/>
                <w:lang w:val="en-US" w:eastAsia="zh-CN"/>
              </w:rPr>
              <w:t>-</w:t>
            </w:r>
            <w:r>
              <w:rPr>
                <w:rFonts w:hint="eastAsia" w:ascii="宋体" w:hAnsi="宋体"/>
                <w:szCs w:val="21"/>
                <w:highlight w:val="none"/>
              </w:rPr>
              <w:t>用户需求书</w:t>
            </w:r>
          </w:p>
        </w:tc>
        <w:tc>
          <w:tcPr>
            <w:tcW w:w="738" w:type="dxa"/>
            <w:vAlign w:val="center"/>
          </w:tcPr>
          <w:p>
            <w:pPr>
              <w:jc w:val="center"/>
              <w:rPr>
                <w:rFonts w:ascii="宋体" w:hAnsi="宋体" w:cs="宋体"/>
                <w:szCs w:val="21"/>
                <w:highlight w:val="none"/>
              </w:rPr>
            </w:pPr>
            <w:r>
              <w:rPr>
                <w:rFonts w:hint="eastAsia" w:ascii="宋体" w:hAnsi="宋体" w:cs="宋体"/>
                <w:szCs w:val="21"/>
                <w:highlight w:val="none"/>
              </w:rPr>
              <w:t>三年</w:t>
            </w:r>
          </w:p>
        </w:tc>
        <w:tc>
          <w:tcPr>
            <w:tcW w:w="1936" w:type="dxa"/>
            <w:vAlign w:val="center"/>
          </w:tcPr>
          <w:p>
            <w:pPr>
              <w:jc w:val="center"/>
              <w:rPr>
                <w:rFonts w:ascii="宋体" w:hAnsi="宋体" w:cs="宋体"/>
                <w:szCs w:val="21"/>
                <w:highlight w:val="none"/>
              </w:rPr>
            </w:pPr>
            <w:r>
              <w:rPr>
                <w:rFonts w:hint="eastAsia"/>
                <w:szCs w:val="21"/>
                <w:highlight w:val="none"/>
              </w:rPr>
              <w:t>人民币</w:t>
            </w:r>
            <w:r>
              <w:rPr>
                <w:rFonts w:hint="eastAsia"/>
                <w:szCs w:val="21"/>
                <w:highlight w:val="none"/>
                <w:u w:val="single"/>
              </w:rPr>
              <w:t>9736</w:t>
            </w:r>
            <w:r>
              <w:rPr>
                <w:rFonts w:hint="eastAsia"/>
                <w:szCs w:val="21"/>
                <w:highlight w:val="none"/>
              </w:rPr>
              <w:t>元/月</w:t>
            </w:r>
          </w:p>
        </w:tc>
      </w:tr>
    </w:tbl>
    <w:p>
      <w:pPr>
        <w:pStyle w:val="13"/>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提供有效的三证合一的营业执照的副本原件；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投标人</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2022年5月31日16:00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u w:val="none"/>
          <w:shd w:val="clear" w:fill="FFFFFF"/>
          <w:vertAlign w:val="baseline"/>
          <w:lang w:val="en-US" w:eastAsia="zh-CN"/>
        </w:rPr>
        <w:t>YXZB3787@126.com</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文件邮寄：中山市小榄镇菊城大道中65号（小榄人民医院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，供</w:t>
      </w:r>
      <w:r>
        <w:rPr>
          <w:rFonts w:hint="eastAsia" w:ascii="宋体" w:hAnsi="宋体" w:eastAsia="宋体" w:cs="宋体"/>
          <w:color w:val="auto"/>
          <w:sz w:val="27"/>
          <w:szCs w:val="27"/>
          <w:highlight w:val="none"/>
          <w:shd w:val="clear" w:color="auto" w:fill="FFFFFF"/>
          <w:lang w:eastAsia="zh-CN"/>
        </w:rPr>
        <w:t>采购人</w:t>
      </w:r>
      <w:r>
        <w:rPr>
          <w:rFonts w:hint="eastAsia" w:ascii="宋体" w:hAnsi="宋体" w:eastAsia="宋体" w:cs="宋体"/>
          <w:color w:val="auto"/>
          <w:sz w:val="27"/>
          <w:szCs w:val="27"/>
          <w:highlight w:val="none"/>
          <w:shd w:val="clear" w:color="auto" w:fill="FFFFFF"/>
        </w:rPr>
        <w:t>进行</w:t>
      </w:r>
      <w:r>
        <w:rPr>
          <w:rFonts w:hint="eastAsia" w:ascii="宋体" w:hAnsi="宋体" w:eastAsia="宋体" w:cs="宋体"/>
          <w:color w:val="auto"/>
          <w:sz w:val="27"/>
          <w:szCs w:val="27"/>
          <w:highlight w:val="none"/>
          <w:shd w:val="clear" w:color="auto" w:fill="FFFFFF"/>
          <w:lang w:eastAsia="zh-CN"/>
        </w:rPr>
        <w:t>预审</w:t>
      </w:r>
      <w:r>
        <w:rPr>
          <w:rFonts w:hint="eastAsia" w:ascii="宋体" w:hAnsi="宋体" w:eastAsia="宋体" w:cs="宋体"/>
          <w:color w:val="auto"/>
          <w:sz w:val="27"/>
          <w:szCs w:val="27"/>
          <w:highlight w:val="none"/>
          <w:shd w:val="clear" w:color="auto" w:fill="FFFFFF"/>
        </w:rPr>
        <w:t>：</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供</w:t>
      </w:r>
      <w:r>
        <w:rPr>
          <w:rFonts w:hint="eastAsia" w:ascii="宋体" w:hAnsi="宋体" w:eastAsia="宋体" w:cs="宋体"/>
          <w:color w:val="auto"/>
          <w:sz w:val="27"/>
          <w:szCs w:val="27"/>
          <w:highlight w:val="none"/>
        </w:rPr>
        <w:t>应商资质证件（包括但不限于营业执照、卫生许可证、税务登记证、餐饮服务许可证或食品流通许可证及一切必须具有的证件）</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服务承诺函</w:t>
      </w:r>
      <w:r>
        <w:rPr>
          <w:rFonts w:hint="eastAsia" w:hAnsi="宋体" w:cs="宋体"/>
          <w:color w:val="auto"/>
          <w:sz w:val="27"/>
          <w:szCs w:val="27"/>
          <w:highlight w:val="none"/>
          <w:lang w:eastAsia="zh-CN"/>
        </w:rPr>
        <w:t>（</w:t>
      </w:r>
      <w:r>
        <w:rPr>
          <w:rFonts w:hint="eastAsia" w:hAnsi="宋体" w:cs="宋体"/>
          <w:color w:val="auto"/>
          <w:sz w:val="27"/>
          <w:szCs w:val="27"/>
          <w:highlight w:val="none"/>
          <w:lang w:val="en-US" w:eastAsia="zh-CN"/>
        </w:rPr>
        <w:t>包括但不限于采购需求书第六点第4条</w:t>
      </w:r>
      <w:r>
        <w:rPr>
          <w:rFonts w:hint="eastAsia" w:hAnsi="宋体" w:cs="宋体"/>
          <w:color w:val="auto"/>
          <w:sz w:val="27"/>
          <w:szCs w:val="27"/>
          <w:highlight w:val="none"/>
          <w:lang w:eastAsia="zh-CN"/>
        </w:rPr>
        <w:t>）</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供应商拟任本项目负责人必须具有3年以上从事</w:t>
      </w:r>
      <w:r>
        <w:rPr>
          <w:rFonts w:hint="eastAsia" w:hAnsi="宋体" w:cs="宋体"/>
          <w:color w:val="auto"/>
          <w:sz w:val="27"/>
          <w:szCs w:val="27"/>
          <w:highlight w:val="none"/>
          <w:lang w:val="en-US" w:eastAsia="zh-CN"/>
        </w:rPr>
        <w:t>餐饮</w:t>
      </w:r>
      <w:r>
        <w:rPr>
          <w:rFonts w:hint="eastAsia" w:ascii="宋体" w:hAnsi="宋体" w:eastAsia="宋体" w:cs="宋体"/>
          <w:color w:val="auto"/>
          <w:sz w:val="27"/>
          <w:szCs w:val="27"/>
          <w:highlight w:val="none"/>
        </w:rPr>
        <w:t>经营的经验，提供相关证明</w:t>
      </w:r>
    </w:p>
    <w:p>
      <w:pPr>
        <w:pStyle w:val="8"/>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项目实施方案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1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1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color w:val="auto"/>
          <w:sz w:val="27"/>
          <w:szCs w:val="27"/>
          <w:highlight w:val="none"/>
          <w:shd w:val="clear" w:color="auto" w:fill="FFFFFF"/>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预审通过后，采购人以电子邮件方式等方式通知供应商过进入下一阶段流程。</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2022年 5月24日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8"/>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spacing w:afterLines="25" w:line="360" w:lineRule="auto"/>
        <w:jc w:val="center"/>
        <w:outlineLvl w:val="2"/>
        <w:rPr>
          <w:b/>
          <w:sz w:val="32"/>
          <w:szCs w:val="32"/>
          <w:highlight w:val="none"/>
          <w:u w:val="none"/>
        </w:rPr>
      </w:pPr>
      <w:bookmarkStart w:id="4" w:name="_Toc238563757"/>
      <w:bookmarkStart w:id="5" w:name="_Toc164247492"/>
      <w:bookmarkStart w:id="6" w:name="_Toc278613949"/>
      <w:bookmarkStart w:id="7" w:name="_Toc297213506"/>
      <w:bookmarkStart w:id="8" w:name="_Toc186000522"/>
      <w:bookmarkStart w:id="9" w:name="_Toc237151173"/>
      <w:r>
        <w:rPr>
          <w:rStyle w:val="21"/>
          <w:rFonts w:hint="eastAsia" w:ascii="宋体" w:hAnsi="宋体"/>
          <w:b/>
          <w:bCs/>
          <w:sz w:val="32"/>
          <w:szCs w:val="32"/>
          <w:highlight w:val="none"/>
          <w:u w:val="none"/>
          <w:lang w:val="en-US" w:eastAsia="zh-CN"/>
        </w:rPr>
        <w:t>采购</w:t>
      </w:r>
      <w:r>
        <w:rPr>
          <w:rStyle w:val="21"/>
          <w:rFonts w:hint="eastAsia" w:ascii="宋体" w:hAnsi="宋体"/>
          <w:b/>
          <w:bCs/>
          <w:sz w:val="32"/>
          <w:szCs w:val="32"/>
          <w:highlight w:val="none"/>
          <w:u w:val="none"/>
        </w:rPr>
        <w:t>需求书</w:t>
      </w:r>
      <w:bookmarkEnd w:id="4"/>
      <w:bookmarkEnd w:id="5"/>
      <w:bookmarkEnd w:id="6"/>
      <w:bookmarkEnd w:id="7"/>
      <w:bookmarkEnd w:id="8"/>
      <w:bookmarkEnd w:id="9"/>
    </w:p>
    <w:p>
      <w:pPr>
        <w:spacing w:line="360" w:lineRule="auto"/>
        <w:rPr>
          <w:szCs w:val="21"/>
          <w:highlight w:val="none"/>
          <w:u w:val="none"/>
        </w:rPr>
      </w:pPr>
      <w:r>
        <w:rPr>
          <w:rFonts w:hint="eastAsia"/>
          <w:b/>
          <w:szCs w:val="21"/>
          <w:highlight w:val="none"/>
          <w:u w:val="none"/>
        </w:rPr>
        <w:t>·总 则</w:t>
      </w:r>
    </w:p>
    <w:p>
      <w:pPr>
        <w:spacing w:line="360" w:lineRule="auto"/>
        <w:ind w:firstLine="420" w:firstLineChars="200"/>
        <w:rPr>
          <w:rFonts w:ascii="宋体" w:hAnsi="宋体"/>
          <w:szCs w:val="21"/>
          <w:highlight w:val="none"/>
          <w:u w:val="none"/>
        </w:rPr>
      </w:pPr>
      <w:r>
        <w:rPr>
          <w:rFonts w:hint="eastAsia" w:ascii="宋体" w:hAnsi="宋体"/>
          <w:szCs w:val="21"/>
          <w:highlight w:val="none"/>
          <w:u w:val="none"/>
        </w:rPr>
        <w:t>1、项目内容：</w:t>
      </w:r>
      <w:bookmarkStart w:id="10" w:name="_Toc182836733"/>
      <w:r>
        <w:rPr>
          <w:rFonts w:hint="eastAsia" w:ascii="宋体" w:hAnsi="宋体"/>
          <w:bCs/>
          <w:highlight w:val="none"/>
          <w:u w:val="none"/>
        </w:rPr>
        <w:t>中山市小榄人民医院食堂经营场地招租，</w:t>
      </w:r>
      <w:r>
        <w:rPr>
          <w:rFonts w:hint="eastAsia" w:ascii="宋体" w:hAnsi="宋体"/>
          <w:szCs w:val="21"/>
          <w:highlight w:val="none"/>
          <w:u w:val="none"/>
        </w:rPr>
        <w:t>供应商必须按国家、行业的标准及招标文件的要求对项目提供相关服务。</w:t>
      </w:r>
    </w:p>
    <w:p>
      <w:pPr>
        <w:spacing w:line="360" w:lineRule="auto"/>
        <w:ind w:firstLine="420" w:firstLineChars="200"/>
        <w:rPr>
          <w:rFonts w:ascii="宋体" w:hAnsi="宋体"/>
          <w:szCs w:val="21"/>
          <w:highlight w:val="none"/>
          <w:u w:val="none"/>
        </w:rPr>
      </w:pPr>
      <w:r>
        <w:rPr>
          <w:rFonts w:hint="eastAsia" w:ascii="宋体" w:hAnsi="宋体"/>
          <w:szCs w:val="21"/>
          <w:highlight w:val="none"/>
          <w:u w:val="none"/>
        </w:rPr>
        <w:t>2、服务年限：自合同签订日起叁年。</w:t>
      </w:r>
    </w:p>
    <w:p>
      <w:pPr>
        <w:spacing w:line="360" w:lineRule="auto"/>
        <w:ind w:firstLine="420" w:firstLineChars="200"/>
        <w:rPr>
          <w:rFonts w:ascii="宋体" w:hAnsi="宋体"/>
          <w:szCs w:val="21"/>
          <w:highlight w:val="none"/>
          <w:u w:val="none"/>
        </w:rPr>
      </w:pPr>
      <w:r>
        <w:rPr>
          <w:rFonts w:hint="eastAsia" w:ascii="宋体" w:hAnsi="宋体"/>
          <w:bCs/>
          <w:szCs w:val="21"/>
          <w:highlight w:val="none"/>
          <w:u w:val="none"/>
        </w:rPr>
        <w:t>3、本项目不接受在小榄人民医院范围内合同期内的同类餐饮企业（含餐厅、饮品店等）或其加盟店投标。</w:t>
      </w:r>
    </w:p>
    <w:p>
      <w:pPr>
        <w:spacing w:line="360" w:lineRule="auto"/>
        <w:ind w:firstLine="420" w:firstLineChars="200"/>
        <w:rPr>
          <w:rFonts w:ascii="宋体" w:hAnsi="宋体"/>
          <w:highlight w:val="none"/>
          <w:u w:val="none"/>
        </w:rPr>
      </w:pPr>
      <w:r>
        <w:rPr>
          <w:rFonts w:hint="eastAsia" w:ascii="宋体" w:hAnsi="宋体"/>
          <w:szCs w:val="21"/>
          <w:highlight w:val="none"/>
          <w:u w:val="none"/>
        </w:rPr>
        <w:t>4、《</w:t>
      </w:r>
      <w:r>
        <w:rPr>
          <w:rFonts w:hint="eastAsia" w:ascii="宋体" w:hAnsi="宋体"/>
          <w:highlight w:val="none"/>
          <w:u w:val="none"/>
        </w:rPr>
        <w:t>用户需求书</w:t>
      </w:r>
      <w:r>
        <w:rPr>
          <w:rFonts w:hint="eastAsia" w:ascii="宋体" w:hAnsi="宋体"/>
          <w:szCs w:val="21"/>
          <w:highlight w:val="none"/>
          <w:u w:val="none"/>
        </w:rPr>
        <w:t>》</w:t>
      </w:r>
      <w:r>
        <w:rPr>
          <w:rFonts w:hint="eastAsia" w:ascii="宋体" w:hAnsi="宋体"/>
          <w:highlight w:val="none"/>
          <w:u w:val="none"/>
        </w:rPr>
        <w:t>中，</w:t>
      </w:r>
      <w:r>
        <w:rPr>
          <w:rFonts w:hint="eastAsia" w:ascii="宋体" w:hAnsi="宋体" w:cs="宋体"/>
          <w:bCs/>
          <w:szCs w:val="21"/>
          <w:highlight w:val="none"/>
          <w:u w:val="none"/>
        </w:rPr>
        <w:t>凡带“★”的条款为该项目的重要技术服务要求，必须完全满足，如有负偏离的投标文件将被认定为无效投标；</w:t>
      </w:r>
      <w:r>
        <w:rPr>
          <w:rFonts w:hint="eastAsia" w:ascii="宋体" w:hAnsi="宋体"/>
          <w:highlight w:val="none"/>
          <w:u w:val="none"/>
        </w:rPr>
        <w:t>凡</w:t>
      </w:r>
      <w:r>
        <w:rPr>
          <w:rFonts w:hint="eastAsia" w:ascii="宋体" w:hAnsi="宋体" w:cs="宋体"/>
          <w:bCs/>
          <w:szCs w:val="21"/>
          <w:highlight w:val="none"/>
          <w:u w:val="none"/>
        </w:rPr>
        <w:t>带</w:t>
      </w:r>
      <w:r>
        <w:rPr>
          <w:rFonts w:hint="eastAsia" w:ascii="宋体" w:hAnsi="宋体"/>
          <w:bCs/>
          <w:szCs w:val="21"/>
          <w:highlight w:val="none"/>
          <w:u w:val="none"/>
        </w:rPr>
        <w:t>“</w:t>
      </w:r>
      <w:r>
        <w:rPr>
          <w:rFonts w:ascii="宋体" w:hAnsi="宋体"/>
          <w:bCs/>
          <w:szCs w:val="21"/>
          <w:highlight w:val="none"/>
          <w:u w:val="none"/>
        </w:rPr>
        <w:t>▲</w:t>
      </w:r>
      <w:r>
        <w:rPr>
          <w:rFonts w:hint="eastAsia" w:ascii="宋体" w:hAnsi="宋体"/>
          <w:bCs/>
          <w:szCs w:val="21"/>
          <w:highlight w:val="none"/>
          <w:u w:val="none"/>
        </w:rPr>
        <w:t>”标识的内容</w:t>
      </w:r>
      <w:r>
        <w:rPr>
          <w:rFonts w:ascii="宋体" w:hAnsi="宋体"/>
          <w:bCs/>
          <w:szCs w:val="21"/>
          <w:highlight w:val="none"/>
          <w:u w:val="none"/>
        </w:rPr>
        <w:t>为评标</w:t>
      </w:r>
      <w:r>
        <w:rPr>
          <w:rFonts w:hint="eastAsia" w:ascii="宋体" w:hAnsi="宋体"/>
          <w:bCs/>
          <w:szCs w:val="21"/>
          <w:highlight w:val="none"/>
          <w:u w:val="none"/>
        </w:rPr>
        <w:t>的</w:t>
      </w:r>
      <w:r>
        <w:rPr>
          <w:rFonts w:hint="eastAsia"/>
          <w:bCs/>
          <w:szCs w:val="21"/>
          <w:highlight w:val="none"/>
          <w:u w:val="none"/>
        </w:rPr>
        <w:t>重要参数依据</w:t>
      </w:r>
      <w:r>
        <w:rPr>
          <w:rFonts w:ascii="宋体" w:hAnsi="宋体"/>
          <w:bCs/>
          <w:szCs w:val="21"/>
          <w:highlight w:val="none"/>
          <w:u w:val="none"/>
        </w:rPr>
        <w:t>，投标人</w:t>
      </w:r>
      <w:r>
        <w:rPr>
          <w:rFonts w:hint="eastAsia" w:ascii="宋体" w:hAnsi="宋体"/>
          <w:bCs/>
          <w:szCs w:val="21"/>
          <w:highlight w:val="none"/>
          <w:u w:val="none"/>
        </w:rPr>
        <w:t>应</w:t>
      </w:r>
      <w:r>
        <w:rPr>
          <w:rFonts w:ascii="宋体" w:hAnsi="宋体"/>
          <w:bCs/>
          <w:szCs w:val="21"/>
          <w:highlight w:val="none"/>
          <w:u w:val="none"/>
        </w:rPr>
        <w:t>对该标识项目按照要求进行真实应答描述</w:t>
      </w:r>
      <w:r>
        <w:rPr>
          <w:rFonts w:hint="eastAsia"/>
          <w:bCs/>
          <w:szCs w:val="21"/>
          <w:highlight w:val="none"/>
          <w:u w:val="none"/>
        </w:rPr>
        <w:t>，但不作为废标的实质性条款。</w:t>
      </w:r>
    </w:p>
    <w:p>
      <w:pPr>
        <w:spacing w:line="360" w:lineRule="auto"/>
        <w:ind w:firstLine="420" w:firstLineChars="200"/>
        <w:rPr>
          <w:rFonts w:ascii="宋体" w:hAnsi="宋体" w:cs="宋体"/>
          <w:szCs w:val="21"/>
          <w:highlight w:val="none"/>
          <w:u w:val="none"/>
        </w:rPr>
      </w:pPr>
      <w:r>
        <w:rPr>
          <w:rFonts w:hint="eastAsia" w:ascii="宋体" w:hAnsi="宋体"/>
          <w:highlight w:val="none"/>
          <w:u w:val="none"/>
        </w:rPr>
        <w:t>5、项目</w:t>
      </w:r>
      <w:r>
        <w:rPr>
          <w:rFonts w:hint="eastAsia" w:ascii="宋体" w:hAnsi="宋体" w:cs="宋体"/>
          <w:szCs w:val="21"/>
          <w:highlight w:val="none"/>
          <w:u w:val="none"/>
        </w:rPr>
        <w:t>采用全包干的方式承包，由中标供应商负责招标文件对中标供应商要求的一切事宜责任，自负盈亏，采购人不支付任何费用</w:t>
      </w:r>
      <w:r>
        <w:rPr>
          <w:rFonts w:hint="eastAsia" w:ascii="宋体" w:hAnsi="宋体" w:cs="宋体"/>
          <w:szCs w:val="21"/>
          <w:highlight w:val="none"/>
          <w:u w:val="none"/>
          <w:lang w:val="en-US" w:eastAsia="zh-CN"/>
        </w:rPr>
        <w:t>或</w:t>
      </w:r>
      <w:r>
        <w:rPr>
          <w:rFonts w:hint="eastAsia" w:ascii="宋体" w:hAnsi="宋体" w:cs="宋体"/>
          <w:szCs w:val="21"/>
          <w:highlight w:val="none"/>
          <w:u w:val="none"/>
        </w:rPr>
        <w:t>补贴给中标供应商。中标供应商及其工作人员所产生的一切费用及责任由中标供应商负责，与采购人无关。</w:t>
      </w:r>
    </w:p>
    <w:p>
      <w:pPr>
        <w:spacing w:line="360" w:lineRule="auto"/>
        <w:ind w:firstLine="420" w:firstLineChars="200"/>
        <w:rPr>
          <w:rFonts w:ascii="宋体" w:hAnsi="宋体"/>
          <w:highlight w:val="none"/>
          <w:u w:val="none"/>
        </w:rPr>
      </w:pPr>
      <w:r>
        <w:rPr>
          <w:rFonts w:hint="eastAsia" w:ascii="宋体" w:hAnsi="宋体" w:cs="宋体"/>
          <w:szCs w:val="21"/>
          <w:highlight w:val="none"/>
          <w:u w:val="none"/>
        </w:rPr>
        <w:t>6、投标人在响应投标方案中对这部分内容应尽量列出具体参数或作出详细应答。如果投标人只简单注明“符合”或“满足”，将影响其技术商务得分。</w:t>
      </w:r>
    </w:p>
    <w:p>
      <w:pPr>
        <w:spacing w:line="360" w:lineRule="auto"/>
        <w:ind w:firstLine="420" w:firstLineChars="200"/>
        <w:rPr>
          <w:rFonts w:ascii="宋体" w:hAnsi="宋体"/>
          <w:highlight w:val="none"/>
          <w:u w:val="none"/>
        </w:rPr>
      </w:pPr>
      <w:r>
        <w:rPr>
          <w:rFonts w:hint="eastAsia" w:ascii="宋体" w:hAnsi="宋体"/>
          <w:highlight w:val="none"/>
          <w:u w:val="none"/>
        </w:rPr>
        <w:t>7、</w:t>
      </w:r>
      <w:r>
        <w:rPr>
          <w:rFonts w:hint="eastAsia" w:ascii="宋体" w:hAnsi="宋体" w:cs="宋体"/>
          <w:szCs w:val="21"/>
          <w:highlight w:val="none"/>
          <w:u w:val="none"/>
        </w:rPr>
        <w:t>中标供应商不得以任何方式转包或分包，否则采购人有权扣除履约保证金并自动终止合同。</w:t>
      </w:r>
    </w:p>
    <w:p>
      <w:pPr>
        <w:spacing w:line="360" w:lineRule="auto"/>
        <w:ind w:firstLine="420" w:firstLineChars="200"/>
        <w:rPr>
          <w:rFonts w:ascii="宋体" w:hAnsi="宋体"/>
          <w:highlight w:val="none"/>
          <w:u w:val="none"/>
        </w:rPr>
      </w:pPr>
      <w:r>
        <w:rPr>
          <w:rFonts w:hint="eastAsia" w:ascii="宋体" w:hAnsi="宋体"/>
          <w:highlight w:val="none"/>
          <w:u w:val="none"/>
        </w:rPr>
        <w:t>8、本项目不接受联合体投标</w:t>
      </w:r>
      <w:r>
        <w:rPr>
          <w:rFonts w:ascii="宋体" w:hAnsi="宋体"/>
          <w:highlight w:val="none"/>
          <w:u w:val="none"/>
        </w:rPr>
        <w:t>。</w:t>
      </w:r>
    </w:p>
    <w:p>
      <w:pPr>
        <w:spacing w:line="360" w:lineRule="auto"/>
        <w:ind w:firstLine="420" w:firstLineChars="200"/>
        <w:rPr>
          <w:rFonts w:ascii="宋体" w:hAnsi="宋体"/>
          <w:szCs w:val="21"/>
          <w:highlight w:val="none"/>
          <w:u w:val="none"/>
        </w:rPr>
      </w:pPr>
      <w:r>
        <w:rPr>
          <w:rFonts w:hint="eastAsia" w:ascii="宋体" w:hAnsi="宋体"/>
          <w:highlight w:val="none"/>
          <w:u w:val="none"/>
        </w:rPr>
        <w:t>9、</w:t>
      </w:r>
      <w:r>
        <w:rPr>
          <w:highlight w:val="none"/>
          <w:u w:val="none"/>
        </w:rPr>
        <w:t>本项目不设统一现场踏勘时间，</w:t>
      </w:r>
      <w:r>
        <w:rPr>
          <w:rFonts w:hint="eastAsia"/>
          <w:highlight w:val="none"/>
          <w:u w:val="none"/>
        </w:rPr>
        <w:t>投标人如需进行现场踏勘，可直接与采购人联系。投标人因对项目不了解而导致方案不合理或不完整的，采购人将不负任何责任。采购人不接受因投标人缺乏对项目情况的了解或掌握而提出的任何异议或索赔。</w:t>
      </w:r>
    </w:p>
    <w:p>
      <w:pPr>
        <w:ind w:firstLine="420" w:firstLineChars="200"/>
        <w:rPr>
          <w:szCs w:val="21"/>
          <w:highlight w:val="none"/>
          <w:u w:val="none"/>
        </w:rPr>
      </w:pPr>
    </w:p>
    <w:bookmarkEnd w:id="10"/>
    <w:p>
      <w:pPr>
        <w:spacing w:line="360" w:lineRule="auto"/>
        <w:rPr>
          <w:b/>
          <w:szCs w:val="21"/>
          <w:highlight w:val="none"/>
          <w:u w:val="none"/>
        </w:rPr>
      </w:pPr>
      <w:r>
        <w:rPr>
          <w:rFonts w:hint="eastAsia"/>
          <w:b/>
          <w:szCs w:val="21"/>
          <w:highlight w:val="none"/>
          <w:u w:val="none"/>
        </w:rPr>
        <w:t>一、项目基本要求</w:t>
      </w:r>
    </w:p>
    <w:p>
      <w:pPr>
        <w:spacing w:line="360" w:lineRule="auto"/>
        <w:ind w:firstLine="422" w:firstLineChars="200"/>
        <w:rPr>
          <w:rFonts w:ascii="宋体" w:hAnsi="宋体" w:cs="宋体"/>
          <w:b/>
          <w:szCs w:val="21"/>
          <w:highlight w:val="none"/>
          <w:u w:val="none"/>
        </w:rPr>
      </w:pPr>
      <w:r>
        <w:rPr>
          <w:rFonts w:hint="eastAsia" w:ascii="宋体" w:hAnsi="宋体" w:cs="宋体"/>
          <w:b/>
          <w:szCs w:val="21"/>
          <w:highlight w:val="none"/>
          <w:u w:val="none"/>
        </w:rPr>
        <w:t>1、 项目名称：中山市小榄人民医院食堂经营</w:t>
      </w:r>
      <w:r>
        <w:rPr>
          <w:rFonts w:hint="eastAsia" w:ascii="宋体" w:hAnsi="宋体"/>
          <w:bCs/>
          <w:highlight w:val="none"/>
          <w:u w:val="none"/>
        </w:rPr>
        <w:t>场地招租</w:t>
      </w:r>
      <w:r>
        <w:rPr>
          <w:rFonts w:hint="eastAsia" w:ascii="宋体" w:hAnsi="宋体" w:cs="宋体"/>
          <w:b/>
          <w:szCs w:val="21"/>
          <w:highlight w:val="none"/>
          <w:u w:val="none"/>
        </w:rPr>
        <w:t>项目</w:t>
      </w:r>
    </w:p>
    <w:p>
      <w:pPr>
        <w:spacing w:line="360" w:lineRule="auto"/>
        <w:ind w:firstLine="422" w:firstLineChars="200"/>
        <w:rPr>
          <w:rFonts w:ascii="宋体" w:hAnsi="宋体" w:cs="宋体"/>
          <w:b/>
          <w:szCs w:val="21"/>
          <w:highlight w:val="none"/>
          <w:u w:val="none"/>
        </w:rPr>
      </w:pPr>
      <w:r>
        <w:rPr>
          <w:rFonts w:hint="eastAsia" w:ascii="宋体" w:hAnsi="宋体" w:cs="宋体"/>
          <w:b/>
          <w:szCs w:val="21"/>
          <w:highlight w:val="none"/>
          <w:u w:val="none"/>
        </w:rPr>
        <w:t>2、 项目清单：</w:t>
      </w:r>
    </w:p>
    <w:tbl>
      <w:tblPr>
        <w:tblStyle w:val="14"/>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773"/>
        <w:gridCol w:w="1452"/>
        <w:gridCol w:w="1632"/>
        <w:gridCol w:w="738"/>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23" w:type="dxa"/>
            <w:vAlign w:val="center"/>
          </w:tcPr>
          <w:p>
            <w:pPr>
              <w:jc w:val="center"/>
              <w:rPr>
                <w:rFonts w:ascii="宋体" w:hAnsi="宋体" w:cs="宋体"/>
                <w:b/>
                <w:szCs w:val="21"/>
                <w:highlight w:val="none"/>
                <w:u w:val="none"/>
              </w:rPr>
            </w:pPr>
            <w:r>
              <w:rPr>
                <w:rFonts w:hint="eastAsia" w:ascii="宋体" w:hAnsi="宋体" w:cs="宋体"/>
                <w:b/>
                <w:szCs w:val="21"/>
                <w:highlight w:val="none"/>
                <w:u w:val="none"/>
              </w:rPr>
              <w:t>序号</w:t>
            </w:r>
          </w:p>
        </w:tc>
        <w:tc>
          <w:tcPr>
            <w:tcW w:w="1773" w:type="dxa"/>
            <w:vAlign w:val="center"/>
          </w:tcPr>
          <w:p>
            <w:pPr>
              <w:jc w:val="center"/>
              <w:rPr>
                <w:rFonts w:ascii="宋体" w:hAnsi="宋体" w:cs="宋体"/>
                <w:b/>
                <w:szCs w:val="21"/>
                <w:highlight w:val="none"/>
                <w:u w:val="none"/>
              </w:rPr>
            </w:pPr>
            <w:r>
              <w:rPr>
                <w:rFonts w:hint="eastAsia" w:ascii="宋体" w:hAnsi="宋体" w:cs="宋体"/>
                <w:b/>
                <w:szCs w:val="21"/>
                <w:highlight w:val="none"/>
                <w:u w:val="none"/>
              </w:rPr>
              <w:t>招标人（采购人）</w:t>
            </w:r>
          </w:p>
        </w:tc>
        <w:tc>
          <w:tcPr>
            <w:tcW w:w="1452" w:type="dxa"/>
            <w:vAlign w:val="center"/>
          </w:tcPr>
          <w:p>
            <w:pPr>
              <w:jc w:val="center"/>
              <w:rPr>
                <w:rFonts w:ascii="宋体" w:hAnsi="宋体" w:cs="宋体"/>
                <w:b/>
                <w:szCs w:val="21"/>
                <w:highlight w:val="none"/>
                <w:u w:val="none"/>
              </w:rPr>
            </w:pPr>
            <w:r>
              <w:rPr>
                <w:rFonts w:hint="eastAsia" w:ascii="宋体" w:hAnsi="宋体" w:cs="宋体"/>
                <w:b/>
                <w:szCs w:val="21"/>
                <w:highlight w:val="none"/>
                <w:u w:val="none"/>
              </w:rPr>
              <w:t>采购内容</w:t>
            </w:r>
          </w:p>
        </w:tc>
        <w:tc>
          <w:tcPr>
            <w:tcW w:w="1632" w:type="dxa"/>
            <w:vAlign w:val="center"/>
          </w:tcPr>
          <w:p>
            <w:pPr>
              <w:jc w:val="center"/>
              <w:rPr>
                <w:rFonts w:ascii="宋体" w:hAnsi="宋体"/>
                <w:b/>
                <w:szCs w:val="21"/>
                <w:highlight w:val="none"/>
                <w:u w:val="none"/>
              </w:rPr>
            </w:pPr>
            <w:r>
              <w:rPr>
                <w:rFonts w:hint="eastAsia" w:ascii="宋体" w:hAnsi="宋体"/>
                <w:b/>
                <w:szCs w:val="21"/>
                <w:highlight w:val="none"/>
                <w:u w:val="none"/>
              </w:rPr>
              <w:t>技术参数要求</w:t>
            </w:r>
          </w:p>
        </w:tc>
        <w:tc>
          <w:tcPr>
            <w:tcW w:w="738" w:type="dxa"/>
            <w:vAlign w:val="center"/>
          </w:tcPr>
          <w:p>
            <w:pPr>
              <w:jc w:val="center"/>
              <w:rPr>
                <w:rFonts w:ascii="宋体" w:hAnsi="宋体" w:cs="宋体"/>
                <w:b/>
                <w:szCs w:val="21"/>
                <w:highlight w:val="none"/>
                <w:u w:val="none"/>
              </w:rPr>
            </w:pPr>
            <w:r>
              <w:rPr>
                <w:rFonts w:hint="eastAsia" w:ascii="宋体" w:hAnsi="宋体" w:cs="宋体"/>
                <w:b/>
                <w:szCs w:val="21"/>
                <w:highlight w:val="none"/>
                <w:u w:val="none"/>
              </w:rPr>
              <w:t>服务年限</w:t>
            </w:r>
          </w:p>
        </w:tc>
        <w:tc>
          <w:tcPr>
            <w:tcW w:w="1935" w:type="dxa"/>
            <w:vAlign w:val="center"/>
          </w:tcPr>
          <w:p>
            <w:pPr>
              <w:jc w:val="center"/>
              <w:rPr>
                <w:rFonts w:ascii="宋体" w:hAnsi="宋体" w:cs="宋体"/>
                <w:b/>
                <w:szCs w:val="21"/>
                <w:highlight w:val="none"/>
                <w:u w:val="none"/>
              </w:rPr>
            </w:pPr>
            <w:r>
              <w:rPr>
                <w:rFonts w:hint="eastAsia" w:ascii="宋体" w:hAnsi="宋体" w:cs="宋体"/>
                <w:b/>
                <w:szCs w:val="21"/>
                <w:highlight w:val="none"/>
                <w:u w:val="none"/>
              </w:rPr>
              <w:t>最低租金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23" w:type="dxa"/>
            <w:vAlign w:val="center"/>
          </w:tcPr>
          <w:p>
            <w:pPr>
              <w:jc w:val="center"/>
              <w:rPr>
                <w:rFonts w:ascii="宋体" w:hAnsi="宋体" w:cs="宋体"/>
                <w:szCs w:val="21"/>
                <w:highlight w:val="none"/>
                <w:u w:val="none"/>
              </w:rPr>
            </w:pPr>
            <w:r>
              <w:rPr>
                <w:rFonts w:hint="eastAsia" w:ascii="宋体" w:hAnsi="宋体" w:cs="宋体"/>
                <w:szCs w:val="21"/>
                <w:highlight w:val="none"/>
                <w:u w:val="none"/>
              </w:rPr>
              <w:t>1</w:t>
            </w:r>
          </w:p>
        </w:tc>
        <w:tc>
          <w:tcPr>
            <w:tcW w:w="1773" w:type="dxa"/>
            <w:vAlign w:val="center"/>
          </w:tcPr>
          <w:p>
            <w:pPr>
              <w:jc w:val="center"/>
              <w:rPr>
                <w:rFonts w:ascii="宋体" w:hAnsi="宋体"/>
                <w:szCs w:val="21"/>
                <w:highlight w:val="none"/>
                <w:u w:val="none"/>
              </w:rPr>
            </w:pPr>
            <w:r>
              <w:rPr>
                <w:rFonts w:hint="eastAsia" w:ascii="宋体" w:hAnsi="宋体"/>
                <w:szCs w:val="21"/>
                <w:highlight w:val="none"/>
                <w:u w:val="none"/>
              </w:rPr>
              <w:t>中山市小榄人民医院</w:t>
            </w:r>
          </w:p>
        </w:tc>
        <w:tc>
          <w:tcPr>
            <w:tcW w:w="1452" w:type="dxa"/>
            <w:vAlign w:val="center"/>
          </w:tcPr>
          <w:p>
            <w:pPr>
              <w:jc w:val="center"/>
              <w:rPr>
                <w:rFonts w:ascii="宋体" w:hAnsi="宋体" w:cs="宋体"/>
                <w:szCs w:val="21"/>
                <w:highlight w:val="none"/>
                <w:u w:val="none"/>
              </w:rPr>
            </w:pPr>
            <w:r>
              <w:rPr>
                <w:rFonts w:hint="eastAsia" w:ascii="宋体" w:hAnsi="宋体"/>
                <w:szCs w:val="21"/>
                <w:highlight w:val="none"/>
                <w:u w:val="none"/>
              </w:rPr>
              <w:t>食堂经营场地招租</w:t>
            </w:r>
          </w:p>
        </w:tc>
        <w:tc>
          <w:tcPr>
            <w:tcW w:w="1632" w:type="dxa"/>
            <w:vAlign w:val="center"/>
          </w:tcPr>
          <w:p>
            <w:pPr>
              <w:jc w:val="center"/>
              <w:rPr>
                <w:rFonts w:ascii="宋体" w:hAnsi="宋体"/>
                <w:szCs w:val="21"/>
                <w:highlight w:val="none"/>
                <w:u w:val="none"/>
              </w:rPr>
            </w:pPr>
            <w:r>
              <w:rPr>
                <w:rFonts w:hint="eastAsia" w:ascii="宋体" w:hAnsi="宋体"/>
                <w:szCs w:val="21"/>
                <w:highlight w:val="none"/>
                <w:u w:val="none"/>
              </w:rPr>
              <w:t>详见“用户需求书”</w:t>
            </w:r>
          </w:p>
        </w:tc>
        <w:tc>
          <w:tcPr>
            <w:tcW w:w="738" w:type="dxa"/>
            <w:vAlign w:val="center"/>
          </w:tcPr>
          <w:p>
            <w:pPr>
              <w:jc w:val="center"/>
              <w:rPr>
                <w:rFonts w:ascii="宋体" w:hAnsi="宋体" w:cs="宋体"/>
                <w:szCs w:val="21"/>
                <w:highlight w:val="none"/>
                <w:u w:val="none"/>
              </w:rPr>
            </w:pPr>
            <w:r>
              <w:rPr>
                <w:rFonts w:hint="eastAsia" w:ascii="宋体" w:hAnsi="宋体" w:cs="宋体"/>
                <w:szCs w:val="21"/>
                <w:highlight w:val="none"/>
                <w:u w:val="none"/>
              </w:rPr>
              <w:t>三年</w:t>
            </w:r>
          </w:p>
        </w:tc>
        <w:tc>
          <w:tcPr>
            <w:tcW w:w="1935" w:type="dxa"/>
            <w:vAlign w:val="center"/>
          </w:tcPr>
          <w:p>
            <w:pPr>
              <w:jc w:val="center"/>
              <w:rPr>
                <w:rFonts w:ascii="宋体" w:hAnsi="宋体" w:cs="宋体"/>
                <w:szCs w:val="21"/>
                <w:highlight w:val="none"/>
                <w:u w:val="none"/>
              </w:rPr>
            </w:pPr>
            <w:r>
              <w:rPr>
                <w:rFonts w:hint="eastAsia"/>
                <w:szCs w:val="21"/>
                <w:highlight w:val="none"/>
                <w:u w:val="none"/>
              </w:rPr>
              <w:t>人民币9736元/月</w:t>
            </w:r>
          </w:p>
        </w:tc>
      </w:tr>
    </w:tbl>
    <w:p>
      <w:pPr>
        <w:spacing w:line="360" w:lineRule="auto"/>
        <w:ind w:firstLine="422" w:firstLineChars="200"/>
        <w:rPr>
          <w:rFonts w:ascii="宋体" w:hAnsi="宋体" w:cs="宋体"/>
          <w:b/>
          <w:szCs w:val="21"/>
          <w:u w:val="none"/>
        </w:rPr>
      </w:pPr>
    </w:p>
    <w:p>
      <w:pPr>
        <w:spacing w:line="360" w:lineRule="auto"/>
        <w:ind w:firstLine="422" w:firstLineChars="200"/>
        <w:rPr>
          <w:rFonts w:ascii="宋体" w:hAnsi="宋体" w:cs="宋体"/>
          <w:b/>
          <w:szCs w:val="21"/>
          <w:u w:val="none"/>
        </w:rPr>
      </w:pPr>
      <w:r>
        <w:rPr>
          <w:rFonts w:hint="eastAsia" w:ascii="宋体" w:hAnsi="宋体" w:cs="宋体"/>
          <w:b/>
          <w:szCs w:val="21"/>
          <w:u w:val="none"/>
        </w:rPr>
        <w:t>3、场地范围：</w:t>
      </w:r>
    </w:p>
    <w:p>
      <w:pPr>
        <w:spacing w:line="360" w:lineRule="auto"/>
        <w:ind w:firstLine="420" w:firstLineChars="200"/>
        <w:rPr>
          <w:rFonts w:ascii="宋体" w:hAnsi="宋体" w:cs="宋体"/>
          <w:szCs w:val="21"/>
          <w:u w:val="none"/>
        </w:rPr>
      </w:pPr>
      <w:r>
        <w:rPr>
          <w:rFonts w:hint="eastAsia" w:ascii="宋体" w:hAnsi="宋体" w:cs="宋体"/>
          <w:szCs w:val="21"/>
          <w:u w:val="none"/>
        </w:rPr>
        <w:t>小榄人民医院餐饮楼一楼餐饮操作间及患者、家属就餐区建筑面积约为1290㎡</w:t>
      </w:r>
      <w:r>
        <w:rPr>
          <w:rFonts w:hint="eastAsia" w:ascii="宋体" w:hAnsi="宋体" w:cs="宋体"/>
          <w:szCs w:val="21"/>
          <w:u w:val="none"/>
          <w:lang w:val="en-US" w:eastAsia="zh-CN"/>
        </w:rPr>
        <w:t>（附图一）</w:t>
      </w:r>
      <w:r>
        <w:rPr>
          <w:rFonts w:hint="eastAsia" w:ascii="宋体" w:hAnsi="宋体" w:cs="宋体"/>
          <w:szCs w:val="21"/>
          <w:u w:val="none"/>
        </w:rPr>
        <w:t>、二楼职工就餐区使用面积约为1000㎡及二楼3间小房、1间洗消间，其中营养科办公室及营养配餐间除外（详见“附图二”红色区域）。</w:t>
      </w:r>
    </w:p>
    <w:p>
      <w:pPr>
        <w:spacing w:line="360" w:lineRule="auto"/>
        <w:ind w:firstLine="210" w:firstLineChars="100"/>
        <w:rPr>
          <w:rFonts w:ascii="宋体" w:hAnsi="宋体" w:cs="宋体"/>
          <w:b/>
          <w:szCs w:val="21"/>
          <w:u w:val="none"/>
        </w:rPr>
      </w:pPr>
      <w:r>
        <w:rPr>
          <w:rFonts w:hint="eastAsia" w:ascii="宋体" w:hAnsi="宋体" w:cs="宋体"/>
          <w:szCs w:val="21"/>
          <w:u w:val="none"/>
        </w:rPr>
        <w:t>★</w:t>
      </w:r>
      <w:r>
        <w:rPr>
          <w:rFonts w:hint="eastAsia" w:ascii="宋体" w:hAnsi="宋体" w:cs="宋体"/>
          <w:b/>
          <w:szCs w:val="21"/>
          <w:u w:val="none"/>
        </w:rPr>
        <w:t>4、服务期限：</w:t>
      </w:r>
    </w:p>
    <w:p>
      <w:pPr>
        <w:spacing w:line="360" w:lineRule="auto"/>
        <w:ind w:firstLine="420" w:firstLineChars="200"/>
        <w:rPr>
          <w:rFonts w:ascii="宋体" w:hAnsi="宋体" w:cs="宋体"/>
          <w:szCs w:val="21"/>
          <w:u w:val="none"/>
        </w:rPr>
      </w:pPr>
      <w:r>
        <w:rPr>
          <w:rFonts w:hint="eastAsia" w:ascii="宋体" w:hAnsi="宋体" w:cs="宋体"/>
          <w:szCs w:val="21"/>
          <w:u w:val="none"/>
        </w:rPr>
        <w:t>即自合同签订日起</w:t>
      </w:r>
      <w:r>
        <w:rPr>
          <w:rFonts w:hint="eastAsia" w:ascii="宋体" w:hAnsi="宋体" w:cs="宋体"/>
          <w:b/>
          <w:szCs w:val="21"/>
          <w:u w:val="none"/>
        </w:rPr>
        <w:t>叁年</w:t>
      </w:r>
      <w:r>
        <w:rPr>
          <w:rFonts w:hint="eastAsia" w:ascii="宋体" w:hAnsi="宋体" w:cs="宋体"/>
          <w:szCs w:val="21"/>
          <w:u w:val="none"/>
        </w:rPr>
        <w:t>。</w:t>
      </w:r>
      <w:r>
        <w:rPr>
          <w:rFonts w:hint="eastAsia" w:ascii="宋体" w:hAnsi="宋体" w:cs="宋体"/>
          <w:bCs/>
          <w:szCs w:val="21"/>
          <w:u w:val="none"/>
        </w:rPr>
        <w:t>服务期限采取1+1+1的方式。即先签订一年合同，如采购人对中标人的服务满意且考核合格，在每一年合同期满后，经采购人同意，本项目服务期限自动延期一年。如采购人对中标人所提供的服务不满意（即连续两个月考核结果低于75分的），采购人有权单方终止合同。</w:t>
      </w:r>
    </w:p>
    <w:p>
      <w:pPr>
        <w:spacing w:line="360" w:lineRule="auto"/>
        <w:ind w:firstLine="422" w:firstLineChars="200"/>
        <w:rPr>
          <w:rFonts w:ascii="宋体" w:hAnsi="宋体" w:cs="宋体"/>
          <w:b/>
          <w:szCs w:val="21"/>
          <w:u w:val="none"/>
        </w:rPr>
      </w:pPr>
      <w:r>
        <w:rPr>
          <w:rFonts w:hint="eastAsia" w:ascii="宋体" w:hAnsi="宋体" w:cs="宋体"/>
          <w:b/>
          <w:szCs w:val="21"/>
          <w:u w:val="none"/>
        </w:rPr>
        <w:t>5、 服务模式：</w:t>
      </w:r>
    </w:p>
    <w:p>
      <w:pPr>
        <w:spacing w:line="360" w:lineRule="auto"/>
        <w:ind w:firstLine="210" w:firstLineChars="100"/>
        <w:rPr>
          <w:rFonts w:hint="eastAsia" w:ascii="宋体" w:hAnsi="宋体" w:cs="宋体"/>
          <w:szCs w:val="21"/>
          <w:u w:val="none"/>
        </w:rPr>
      </w:pPr>
      <w:r>
        <w:rPr>
          <w:rFonts w:hint="eastAsia" w:ascii="宋体" w:hAnsi="宋体" w:cs="宋体"/>
          <w:szCs w:val="21"/>
          <w:u w:val="none"/>
        </w:rPr>
        <w:t>★（1）由采购人向中标人提供经营场地，中标人应在每月5日前向采购人缴交租金、垃圾处理费¥300元/月及上一个月的水、电费、天燃气费（按实结算）等，中标人负责自主经营、自主管理、独立核算。</w:t>
      </w:r>
    </w:p>
    <w:p>
      <w:pPr>
        <w:spacing w:line="360" w:lineRule="auto"/>
        <w:ind w:firstLine="210" w:firstLineChars="100"/>
        <w:rPr>
          <w:rFonts w:ascii="宋体" w:hAnsi="宋体" w:cs="宋体"/>
          <w:szCs w:val="21"/>
          <w:u w:val="none"/>
        </w:rPr>
      </w:pPr>
      <w:r>
        <w:rPr>
          <w:rFonts w:ascii="宋体" w:hAnsi="宋体"/>
          <w:bCs/>
          <w:szCs w:val="21"/>
          <w:u w:val="none"/>
        </w:rPr>
        <w:t>▲</w:t>
      </w:r>
      <w:r>
        <w:rPr>
          <w:rFonts w:hint="eastAsia" w:ascii="宋体" w:hAnsi="宋体" w:cs="宋体"/>
          <w:szCs w:val="21"/>
          <w:u w:val="none"/>
        </w:rPr>
        <w:t>（2）中标人应每天（全年不间断）为医院员工（含进修生、实习生、后勤服务公司员工及其它工作人员的工作人员）、患者及家属提供早餐、中餐、晚餐、宵夜及提供医院公务餐、会议餐、职工包餐、会议盒饭、采购人需要的各类临时性用餐和应急配餐服务。</w:t>
      </w:r>
    </w:p>
    <w:p>
      <w:pPr>
        <w:spacing w:line="360" w:lineRule="auto"/>
        <w:ind w:firstLine="422" w:firstLineChars="200"/>
        <w:rPr>
          <w:rFonts w:ascii="宋体" w:hAnsi="宋体" w:cs="宋体"/>
          <w:b/>
          <w:szCs w:val="21"/>
          <w:u w:val="none"/>
        </w:rPr>
      </w:pPr>
      <w:r>
        <w:rPr>
          <w:rFonts w:hint="eastAsia" w:ascii="宋体" w:hAnsi="宋体" w:cs="宋体"/>
          <w:b/>
          <w:szCs w:val="21"/>
          <w:u w:val="none"/>
        </w:rPr>
        <w:t>6、中标人应承担费用，包括但不限于：</w:t>
      </w:r>
    </w:p>
    <w:p>
      <w:pPr>
        <w:spacing w:line="360" w:lineRule="auto"/>
        <w:ind w:firstLine="210" w:firstLineChars="100"/>
        <w:rPr>
          <w:rFonts w:ascii="宋体" w:hAnsi="宋体" w:cs="宋体"/>
          <w:szCs w:val="21"/>
          <w:u w:val="none"/>
        </w:rPr>
      </w:pPr>
      <w:r>
        <w:rPr>
          <w:rFonts w:hint="eastAsia" w:ascii="宋体" w:hAnsi="宋体" w:cs="宋体"/>
          <w:szCs w:val="21"/>
          <w:u w:val="none"/>
        </w:rPr>
        <w:t>★（1）中标人负责按食品安全的要求</w:t>
      </w:r>
      <w:r>
        <w:rPr>
          <w:rFonts w:ascii="宋体" w:hAnsi="宋体" w:cs="宋体"/>
          <w:szCs w:val="21"/>
          <w:u w:val="none"/>
        </w:rPr>
        <w:t>购买</w:t>
      </w:r>
      <w:r>
        <w:rPr>
          <w:rFonts w:hint="eastAsia" w:ascii="宋体" w:hAnsi="宋体" w:cs="宋体"/>
          <w:szCs w:val="21"/>
          <w:u w:val="none"/>
        </w:rPr>
        <w:t>食物</w:t>
      </w:r>
      <w:r>
        <w:rPr>
          <w:rFonts w:ascii="宋体" w:hAnsi="宋体" w:cs="宋体"/>
          <w:szCs w:val="21"/>
          <w:u w:val="none"/>
        </w:rPr>
        <w:t>原材料、加工</w:t>
      </w:r>
      <w:r>
        <w:rPr>
          <w:rFonts w:hint="eastAsia" w:ascii="宋体" w:hAnsi="宋体" w:cs="宋体"/>
          <w:szCs w:val="21"/>
          <w:u w:val="none"/>
        </w:rPr>
        <w:t>和</w:t>
      </w:r>
      <w:r>
        <w:rPr>
          <w:rFonts w:ascii="宋体" w:hAnsi="宋体" w:cs="宋体"/>
          <w:szCs w:val="21"/>
          <w:u w:val="none"/>
        </w:rPr>
        <w:t>水</w:t>
      </w:r>
      <w:r>
        <w:rPr>
          <w:rFonts w:hint="eastAsia" w:ascii="宋体" w:hAnsi="宋体" w:cs="宋体"/>
          <w:szCs w:val="21"/>
          <w:u w:val="none"/>
        </w:rPr>
        <w:t>、</w:t>
      </w:r>
      <w:r>
        <w:rPr>
          <w:rFonts w:ascii="宋体" w:hAnsi="宋体" w:cs="宋体"/>
          <w:szCs w:val="21"/>
          <w:u w:val="none"/>
        </w:rPr>
        <w:t>电</w:t>
      </w:r>
      <w:r>
        <w:rPr>
          <w:rFonts w:hint="eastAsia" w:ascii="宋体" w:hAnsi="宋体" w:cs="宋体"/>
          <w:szCs w:val="21"/>
          <w:u w:val="none"/>
        </w:rPr>
        <w:t>、气的费用及其</w:t>
      </w:r>
      <w:r>
        <w:rPr>
          <w:rFonts w:ascii="宋体" w:hAnsi="宋体" w:cs="宋体"/>
          <w:szCs w:val="21"/>
          <w:u w:val="none"/>
        </w:rPr>
        <w:t>员工</w:t>
      </w:r>
      <w:r>
        <w:rPr>
          <w:rFonts w:hint="eastAsia" w:ascii="宋体" w:hAnsi="宋体" w:cs="宋体"/>
          <w:szCs w:val="21"/>
          <w:u w:val="none"/>
        </w:rPr>
        <w:t>的一切</w:t>
      </w:r>
      <w:r>
        <w:rPr>
          <w:rFonts w:ascii="宋体" w:hAnsi="宋体" w:cs="宋体"/>
          <w:szCs w:val="21"/>
          <w:u w:val="none"/>
        </w:rPr>
        <w:t>工资</w:t>
      </w:r>
      <w:r>
        <w:rPr>
          <w:rFonts w:hint="eastAsia" w:ascii="宋体" w:hAnsi="宋体" w:cs="宋体"/>
          <w:szCs w:val="21"/>
          <w:u w:val="none"/>
        </w:rPr>
        <w:t>、福利、保险、健康体检和所产生事故、责任和纠纷。</w:t>
      </w:r>
    </w:p>
    <w:p>
      <w:pPr>
        <w:spacing w:line="360" w:lineRule="auto"/>
        <w:ind w:firstLine="420" w:firstLineChars="200"/>
        <w:rPr>
          <w:rFonts w:ascii="宋体" w:hAnsi="宋体" w:cs="宋体"/>
          <w:szCs w:val="21"/>
          <w:u w:val="none"/>
        </w:rPr>
      </w:pPr>
      <w:r>
        <w:rPr>
          <w:rFonts w:hint="eastAsia" w:ascii="宋体" w:hAnsi="宋体" w:cs="宋体"/>
          <w:szCs w:val="21"/>
          <w:u w:val="none"/>
        </w:rPr>
        <w:t>（2）中标人负责办理合法经营所需的各类相关证件资料。</w:t>
      </w:r>
    </w:p>
    <w:p>
      <w:pPr>
        <w:spacing w:line="360" w:lineRule="auto"/>
        <w:ind w:firstLine="420" w:firstLineChars="200"/>
        <w:rPr>
          <w:rFonts w:ascii="宋体" w:hAnsi="宋体" w:cs="宋体"/>
          <w:szCs w:val="21"/>
          <w:u w:val="none"/>
        </w:rPr>
      </w:pPr>
      <w:r>
        <w:rPr>
          <w:rFonts w:hint="eastAsia" w:ascii="宋体" w:hAnsi="宋体" w:cs="宋体"/>
          <w:szCs w:val="21"/>
          <w:u w:val="none"/>
        </w:rPr>
        <w:t>（3）中标人负责对经营场所的重新装修及基础设备、设施的改造、翻新、维修和保养、日常所需添置的各种设备设施（包括但不限于医院提供的专用电梯、台、椅等），所需费用和物品的更新、增设和日常维修保养等一切费用由中标人自行承担，具体要求如下：</w:t>
      </w:r>
    </w:p>
    <w:p>
      <w:pPr>
        <w:spacing w:line="360" w:lineRule="auto"/>
        <w:ind w:firstLine="420" w:firstLineChars="200"/>
        <w:rPr>
          <w:rFonts w:ascii="宋体" w:hAnsi="宋体" w:cs="宋体"/>
          <w:szCs w:val="21"/>
          <w:u w:val="none"/>
        </w:rPr>
      </w:pPr>
      <w:r>
        <w:rPr>
          <w:rFonts w:hint="eastAsia" w:ascii="宋体" w:hAnsi="宋体" w:cs="宋体"/>
          <w:szCs w:val="21"/>
          <w:u w:val="none"/>
        </w:rPr>
        <w:t>①中标人中标后1个月内必须按采购人要求，在满足食品安全管理和消防安全管理的相关法律法规要求下，对饭堂进行重新装修、改造和流程优化，包括但不限于：饭堂布局调整、地面墙身翻新、管道走向调整等，重新装修后的饭堂应符合餐饮服务食品安全监督量化等级为A级。</w:t>
      </w:r>
    </w:p>
    <w:p>
      <w:pPr>
        <w:spacing w:line="360" w:lineRule="auto"/>
        <w:ind w:firstLine="210" w:firstLineChars="100"/>
        <w:rPr>
          <w:rFonts w:ascii="宋体" w:hAnsi="宋体" w:cs="宋体"/>
          <w:szCs w:val="21"/>
          <w:u w:val="none"/>
        </w:rPr>
      </w:pPr>
      <w:r>
        <w:rPr>
          <w:rFonts w:hint="eastAsia" w:ascii="宋体" w:hAnsi="宋体" w:cs="宋体"/>
          <w:szCs w:val="21"/>
          <w:u w:val="none"/>
        </w:rPr>
        <w:t>★② 中标人在装修前必须提交书面装修申请和图纸（含平面设计图、装修效果图等）、预算明细表等交给采购人审批同意后方可进行，装修所产生的一切费用由中标人负责。</w:t>
      </w:r>
    </w:p>
    <w:p>
      <w:pPr>
        <w:spacing w:line="360" w:lineRule="auto"/>
        <w:ind w:firstLine="210" w:firstLineChars="100"/>
        <w:rPr>
          <w:rFonts w:ascii="宋体" w:hAnsi="宋体" w:cs="宋体"/>
          <w:szCs w:val="21"/>
          <w:u w:val="none"/>
        </w:rPr>
      </w:pPr>
      <w:r>
        <w:rPr>
          <w:rFonts w:hint="eastAsia" w:ascii="宋体" w:hAnsi="宋体" w:cs="宋体"/>
          <w:szCs w:val="21"/>
          <w:u w:val="none"/>
        </w:rPr>
        <w:t>★③中标人必须选择具备装修资质的装修公司进行施工，装修材料、装修工艺必须符合环保要求及国家相关要求，采购人有权对装修公司及施工材料、工艺、环节进行监督</w:t>
      </w:r>
      <w:r>
        <w:rPr>
          <w:rStyle w:val="20"/>
          <w:rFonts w:hint="eastAsia"/>
          <w:u w:val="none"/>
        </w:rPr>
        <w:t>管理，一旦发现不符合要求或以次充好的情形，采购人有权要求中标人立即停工整改。因中标人原因造成一切装修事故或安全隐患，所有责任及损失由中标人自行承担，对采购人造成经济或其他损失的，采购人有权进行索赔。</w:t>
      </w:r>
    </w:p>
    <w:p>
      <w:pPr>
        <w:spacing w:line="360" w:lineRule="auto"/>
        <w:ind w:firstLine="420" w:firstLineChars="200"/>
        <w:rPr>
          <w:rFonts w:ascii="宋体" w:hAnsi="宋体" w:cs="宋体"/>
          <w:szCs w:val="21"/>
          <w:u w:val="none"/>
        </w:rPr>
      </w:pPr>
      <w:r>
        <w:rPr>
          <w:rFonts w:hint="eastAsia" w:ascii="宋体" w:hAnsi="宋体" w:cs="宋体"/>
          <w:szCs w:val="21"/>
          <w:u w:val="none"/>
        </w:rPr>
        <w:t>④装修改造不得对原建筑构成损害及造成环境的不协调，合同期满中标人可以拆除商标标牌及其他属于中标人的可移动的设备设施，但房屋内的固定装卸设施（如隔墙、门窗、天花、地板等）归采购人所有，中标人不得拆除或破坏。</w:t>
      </w:r>
    </w:p>
    <w:p>
      <w:pPr>
        <w:spacing w:line="360" w:lineRule="auto"/>
        <w:ind w:firstLine="420" w:firstLineChars="200"/>
        <w:rPr>
          <w:rFonts w:ascii="宋体" w:hAnsi="宋体" w:cs="宋体"/>
          <w:szCs w:val="21"/>
          <w:u w:val="none"/>
        </w:rPr>
      </w:pPr>
      <w:r>
        <w:rPr>
          <w:rFonts w:hint="eastAsia" w:ascii="宋体" w:hAnsi="宋体" w:cs="宋体"/>
          <w:szCs w:val="21"/>
          <w:u w:val="none"/>
        </w:rPr>
        <w:t>★⑤中标人应制定装修期间的应急可行供餐方案，必须确保装修改造期间的正常供餐且应符合食品安全管理要求。</w:t>
      </w:r>
    </w:p>
    <w:p>
      <w:pPr>
        <w:spacing w:line="360" w:lineRule="auto"/>
        <w:ind w:firstLine="420" w:firstLineChars="200"/>
        <w:rPr>
          <w:rFonts w:ascii="宋体" w:hAnsi="宋体" w:cs="宋体"/>
          <w:szCs w:val="21"/>
          <w:u w:val="none"/>
        </w:rPr>
      </w:pPr>
      <w:r>
        <w:rPr>
          <w:rFonts w:hint="eastAsia" w:ascii="宋体" w:hAnsi="宋体" w:cs="宋体"/>
          <w:szCs w:val="21"/>
          <w:u w:val="none"/>
        </w:rPr>
        <w:t>⑥ 食堂一楼及二楼就餐区必须配置光纤WIFI全面覆盖，一切费用由中标人自行承担。</w:t>
      </w:r>
    </w:p>
    <w:p>
      <w:pPr>
        <w:spacing w:line="360" w:lineRule="auto"/>
        <w:ind w:firstLine="210" w:firstLineChars="100"/>
        <w:rPr>
          <w:rFonts w:ascii="宋体" w:hAnsi="宋体" w:cs="宋体"/>
          <w:szCs w:val="21"/>
          <w:u w:val="none"/>
        </w:rPr>
      </w:pPr>
      <w:r>
        <w:rPr>
          <w:rFonts w:hint="eastAsia" w:ascii="宋体" w:hAnsi="宋体" w:cs="宋体"/>
          <w:szCs w:val="21"/>
          <w:u w:val="none"/>
        </w:rPr>
        <w:t>★⑦中标人</w:t>
      </w:r>
      <w:r>
        <w:rPr>
          <w:rFonts w:hint="eastAsia" w:ascii="宋体" w:hAnsi="宋体" w:cs="宋体"/>
          <w:szCs w:val="21"/>
          <w:u w:val="none"/>
          <w:lang w:val="zh-CN"/>
        </w:rPr>
        <w:t>应当具备订餐系统、IC卡消费系统功能开发、配置能力，IC卡具有移动刷卡、个人充值、</w:t>
      </w:r>
      <w:r>
        <w:rPr>
          <w:rFonts w:hint="eastAsia" w:ascii="宋体" w:hAnsi="宋体" w:cs="宋体"/>
          <w:szCs w:val="21"/>
          <w:u w:val="none"/>
        </w:rPr>
        <w:t>兼容采购人现有</w:t>
      </w:r>
      <w:r>
        <w:rPr>
          <w:rFonts w:hint="eastAsia" w:ascii="宋体" w:hAnsi="宋体" w:cs="宋体"/>
          <w:szCs w:val="21"/>
          <w:u w:val="none"/>
          <w:lang w:val="zh-CN"/>
        </w:rPr>
        <w:t>门禁等功能，结算报表能区分招标人充值和个人充值。</w:t>
      </w:r>
      <w:r>
        <w:rPr>
          <w:rFonts w:hint="eastAsia" w:ascii="宋体" w:hAnsi="宋体" w:cs="宋体"/>
          <w:szCs w:val="21"/>
          <w:u w:val="none"/>
        </w:rPr>
        <w:t>并应在合同生效后一个月内负责将医院现有的饭堂信息系统进行全面更新升级，更新升级后的饭堂信息系统应具备以下功能：</w:t>
      </w:r>
    </w:p>
    <w:p>
      <w:pPr>
        <w:spacing w:line="360" w:lineRule="auto"/>
        <w:ind w:firstLine="420" w:firstLineChars="200"/>
        <w:rPr>
          <w:rFonts w:ascii="宋体" w:hAnsi="宋体" w:cs="宋体"/>
          <w:szCs w:val="21"/>
          <w:u w:val="none"/>
        </w:rPr>
      </w:pPr>
      <w:r>
        <w:rPr>
          <w:rFonts w:hint="eastAsia" w:ascii="宋体" w:hAnsi="宋体" w:cs="宋体"/>
          <w:szCs w:val="21"/>
          <w:u w:val="none"/>
        </w:rPr>
        <w:t>◎具有饭堂APP网上订餐系统（提供该即将上线APP的相关材料，例如操作界面截图、运行方案等）：</w:t>
      </w:r>
    </w:p>
    <w:p>
      <w:pPr>
        <w:spacing w:line="360" w:lineRule="auto"/>
        <w:ind w:firstLine="420" w:firstLineChars="200"/>
        <w:rPr>
          <w:rFonts w:ascii="宋体" w:hAnsi="宋体" w:cs="宋体"/>
          <w:szCs w:val="21"/>
          <w:u w:val="none"/>
        </w:rPr>
      </w:pPr>
      <w:r>
        <w:rPr>
          <w:rFonts w:hint="eastAsia" w:ascii="宋体" w:hAnsi="宋体" w:cs="宋体"/>
          <w:szCs w:val="21"/>
          <w:u w:val="none"/>
        </w:rPr>
        <w:t>◎ 具备专有订餐APP且可直接网上订餐。采购人的员工可通过手机号或员工代码登录APP，患者或家属通过手机号登录。APP网上订餐系统应可以接受患者信息（病区、姓名、住院号、床号）和员工信息（员工姓名、工号或手机号等）进行订餐，并出具菜品单价明细小票。</w:t>
      </w:r>
    </w:p>
    <w:p>
      <w:pPr>
        <w:spacing w:line="360" w:lineRule="auto"/>
        <w:ind w:firstLine="420" w:firstLineChars="200"/>
        <w:rPr>
          <w:rFonts w:ascii="宋体" w:hAnsi="宋体" w:cs="宋体"/>
          <w:szCs w:val="21"/>
          <w:u w:val="none"/>
        </w:rPr>
      </w:pPr>
      <w:r>
        <w:rPr>
          <w:rFonts w:hint="eastAsia" w:ascii="宋体" w:hAnsi="宋体" w:cs="宋体"/>
          <w:szCs w:val="21"/>
          <w:u w:val="none"/>
        </w:rPr>
        <w:t>◎从饭堂APP网上订餐后，消费者可以查询所订餐食的物流进度，订单完成后还可以在APP网上订餐系统进行消费评价（具有图片上传功能）。</w:t>
      </w:r>
    </w:p>
    <w:p>
      <w:pPr>
        <w:spacing w:line="360" w:lineRule="auto"/>
        <w:ind w:firstLine="420" w:firstLineChars="200"/>
        <w:rPr>
          <w:rFonts w:ascii="宋体" w:hAnsi="宋体" w:cs="宋体"/>
          <w:szCs w:val="21"/>
          <w:u w:val="none"/>
        </w:rPr>
      </w:pPr>
      <w:r>
        <w:rPr>
          <w:rFonts w:hint="eastAsia" w:ascii="宋体" w:hAnsi="宋体" w:cs="宋体"/>
          <w:szCs w:val="21"/>
          <w:u w:val="none"/>
        </w:rPr>
        <w:t>◎饭堂APP网上订餐系统应有预约点餐（例如提前1天下单）、临时取消订单及增加订单的功能，还具有配送餐方式（有堂食、配送、自提或他人代取（如由他人代取，需设置核对确认环节如随机取餐码）等多种配送方式的选择。</w:t>
      </w:r>
    </w:p>
    <w:p>
      <w:pPr>
        <w:spacing w:line="360" w:lineRule="auto"/>
        <w:ind w:firstLine="420" w:firstLineChars="200"/>
        <w:rPr>
          <w:rFonts w:ascii="宋体" w:hAnsi="宋体" w:cs="宋体"/>
          <w:szCs w:val="21"/>
          <w:u w:val="none"/>
        </w:rPr>
      </w:pPr>
      <w:r>
        <w:rPr>
          <w:rFonts w:hint="eastAsia" w:ascii="宋体" w:hAnsi="宋体" w:cs="宋体"/>
          <w:szCs w:val="21"/>
          <w:u w:val="none"/>
        </w:rPr>
        <w:t>◎饭堂信息化系统应具备医院员工在饭堂消费时，系统应具有：“按医院员工就餐补助规则，在系统中直接扣减补贴金额后，再从员工个人饭卡帐号收取差额”的功能（即员工在饭堂消费时，饭堂信息系统从员工的个人帐号中收取的金额是减去医院补助后的金额），无需再另行统计并集中发放补助。中标人应配合用餐补助规则的变化而调整。</w:t>
      </w:r>
    </w:p>
    <w:p>
      <w:pPr>
        <w:spacing w:line="360" w:lineRule="auto"/>
        <w:ind w:firstLine="420" w:firstLineChars="200"/>
        <w:rPr>
          <w:rFonts w:ascii="宋体" w:hAnsi="宋体" w:cs="宋体"/>
          <w:color w:val="FF0000"/>
          <w:szCs w:val="21"/>
          <w:u w:val="none"/>
        </w:rPr>
      </w:pPr>
      <w:r>
        <w:rPr>
          <w:rFonts w:hint="eastAsia" w:ascii="宋体" w:hAnsi="宋体" w:cs="宋体"/>
          <w:szCs w:val="21"/>
          <w:u w:val="none"/>
        </w:rPr>
        <w:t>◎饭堂信息系统应具备移动刷卡系统或手机网上消费（绑定饭卡）功能，让无法到食堂现场就餐的员工在病房订餐也能享受到员工消费补助。APP可对全院员工进行科室分组，对特殊科室分组（ICU、手术室、产房</w:t>
      </w:r>
      <w:r>
        <w:rPr>
          <w:rFonts w:hint="eastAsia" w:ascii="宋体" w:hAnsi="宋体" w:cs="宋体"/>
          <w:szCs w:val="21"/>
          <w:highlight w:val="none"/>
          <w:u w:val="none"/>
        </w:rPr>
        <w:t>、介入室、胃肠镜室等）</w:t>
      </w:r>
      <w:r>
        <w:rPr>
          <w:rFonts w:hint="eastAsia" w:ascii="宋体" w:hAnsi="宋体" w:cs="宋体"/>
          <w:szCs w:val="21"/>
          <w:u w:val="none"/>
        </w:rPr>
        <w:t>的线上订餐自动减免配送费。</w:t>
      </w:r>
    </w:p>
    <w:p>
      <w:pPr>
        <w:spacing w:line="360" w:lineRule="auto"/>
        <w:ind w:firstLine="420" w:firstLineChars="200"/>
        <w:rPr>
          <w:rFonts w:ascii="宋体" w:hAnsi="宋体" w:cs="宋体"/>
          <w:szCs w:val="21"/>
          <w:u w:val="none"/>
        </w:rPr>
      </w:pPr>
      <w:r>
        <w:rPr>
          <w:rFonts w:hint="eastAsia" w:ascii="宋体" w:hAnsi="宋体" w:cs="宋体"/>
          <w:szCs w:val="21"/>
          <w:u w:val="none"/>
        </w:rPr>
        <w:t>◎饭堂信息系统应具备直接通过员工手机或个人帐号进行网上充值和无卡手机扫码消费等功能，应具有通过识别员工出示的手机代码直接扣费（员工在食堂一楼消费可享受对应的优惠折扣）。</w:t>
      </w:r>
    </w:p>
    <w:p>
      <w:pPr>
        <w:spacing w:line="312" w:lineRule="auto"/>
        <w:ind w:firstLine="420" w:firstLineChars="200"/>
        <w:rPr>
          <w:rFonts w:ascii="宋体" w:hAnsi="宋体"/>
          <w:szCs w:val="21"/>
          <w:u w:val="none"/>
        </w:rPr>
      </w:pPr>
      <w:r>
        <w:rPr>
          <w:rFonts w:hint="eastAsia" w:ascii="宋体" w:hAnsi="宋体" w:cs="宋体"/>
          <w:szCs w:val="21"/>
          <w:u w:val="none"/>
        </w:rPr>
        <w:t>◎中标人</w:t>
      </w:r>
      <w:r>
        <w:rPr>
          <w:rFonts w:hint="eastAsia" w:ascii="宋体" w:hAnsi="宋体"/>
          <w:szCs w:val="21"/>
          <w:u w:val="none"/>
        </w:rPr>
        <w:t>提供不同类型的IC卡，享受医院补贴的IC卡应有区别。所有卡均由中标方提供，由采购人录入信息、发放、补办、取消等。</w:t>
      </w:r>
    </w:p>
    <w:p>
      <w:pPr>
        <w:spacing w:line="360" w:lineRule="auto"/>
        <w:ind w:firstLine="420" w:firstLineChars="200"/>
        <w:rPr>
          <w:rFonts w:ascii="宋体" w:hAnsi="宋体" w:cs="宋体"/>
          <w:szCs w:val="21"/>
          <w:u w:val="none"/>
        </w:rPr>
      </w:pPr>
      <w:r>
        <w:rPr>
          <w:rFonts w:hint="eastAsia" w:ascii="宋体" w:hAnsi="宋体" w:cs="宋体"/>
          <w:szCs w:val="21"/>
          <w:u w:val="none"/>
        </w:rPr>
        <w:t>⑧ 中标人在正常营业时增置消毒碗柜至少3台，以保证各类餐具的清洁消毒效果。</w:t>
      </w:r>
    </w:p>
    <w:p>
      <w:pPr>
        <w:spacing w:line="360" w:lineRule="auto"/>
        <w:ind w:firstLine="420" w:firstLineChars="200"/>
        <w:rPr>
          <w:rFonts w:ascii="宋体" w:hAnsi="宋体" w:cs="宋体"/>
          <w:szCs w:val="21"/>
          <w:u w:val="none"/>
        </w:rPr>
      </w:pPr>
      <w:r>
        <w:rPr>
          <w:rFonts w:hint="eastAsia" w:ascii="宋体" w:hAnsi="宋体" w:cs="宋体"/>
          <w:szCs w:val="21"/>
          <w:u w:val="none"/>
        </w:rPr>
        <w:t>⑨中标人在正常营业前应完成饭菜保温设备</w:t>
      </w:r>
      <w:r>
        <w:rPr>
          <w:rStyle w:val="20"/>
          <w:rFonts w:hint="eastAsia"/>
          <w:u w:val="none"/>
        </w:rPr>
        <w:t>的更新或</w:t>
      </w:r>
      <w:r>
        <w:rPr>
          <w:rFonts w:hint="eastAsia" w:ascii="宋体" w:hAnsi="宋体" w:cs="宋体"/>
          <w:szCs w:val="21"/>
          <w:u w:val="none"/>
        </w:rPr>
        <w:t>升级改造，以保证饭菜的保温效果。</w:t>
      </w:r>
    </w:p>
    <w:p>
      <w:pPr>
        <w:pStyle w:val="5"/>
        <w:spacing w:line="360" w:lineRule="auto"/>
        <w:rPr>
          <w:rFonts w:ascii="宋体" w:hAnsi="宋体" w:cs="宋体"/>
          <w:kern w:val="2"/>
          <w:sz w:val="21"/>
          <w:szCs w:val="21"/>
          <w:u w:val="none"/>
        </w:rPr>
      </w:pPr>
      <w:r>
        <w:rPr>
          <w:rFonts w:hint="eastAsia" w:ascii="宋体" w:hAnsi="宋体" w:cs="宋体"/>
          <w:szCs w:val="21"/>
          <w:u w:val="none"/>
        </w:rPr>
        <w:t xml:space="preserve">  </w:t>
      </w:r>
      <w:r>
        <w:rPr>
          <w:rFonts w:hint="eastAsia" w:ascii="宋体" w:hAnsi="宋体" w:cs="宋体"/>
          <w:b/>
          <w:bCs/>
          <w:szCs w:val="21"/>
          <w:u w:val="none"/>
        </w:rPr>
        <w:t xml:space="preserve"> </w:t>
      </w:r>
      <w:r>
        <w:rPr>
          <w:rFonts w:hint="eastAsia" w:ascii="宋体" w:hAnsi="宋体" w:cs="宋体"/>
          <w:b/>
          <w:bCs/>
          <w:kern w:val="2"/>
          <w:sz w:val="21"/>
          <w:szCs w:val="21"/>
          <w:u w:val="none"/>
        </w:rPr>
        <w:t>7、监控设备的安装</w:t>
      </w:r>
      <w:r>
        <w:rPr>
          <w:rFonts w:hint="eastAsia" w:ascii="宋体" w:hAnsi="宋体" w:cs="宋体"/>
          <w:kern w:val="2"/>
          <w:sz w:val="21"/>
          <w:szCs w:val="21"/>
          <w:u w:val="none"/>
        </w:rPr>
        <w:t>：</w:t>
      </w:r>
    </w:p>
    <w:p>
      <w:pPr>
        <w:pStyle w:val="5"/>
        <w:spacing w:line="360" w:lineRule="auto"/>
        <w:ind w:firstLine="420" w:firstLineChars="200"/>
        <w:rPr>
          <w:u w:val="none"/>
        </w:rPr>
      </w:pPr>
      <w:r>
        <w:rPr>
          <w:rFonts w:hint="eastAsia" w:ascii="宋体" w:hAnsi="宋体" w:cs="宋体"/>
          <w:szCs w:val="21"/>
          <w:u w:val="none"/>
        </w:rPr>
        <w:t>★</w:t>
      </w:r>
      <w:r>
        <w:rPr>
          <w:rFonts w:hint="eastAsia" w:ascii="宋体" w:hAnsi="宋体" w:cs="宋体"/>
          <w:kern w:val="2"/>
          <w:sz w:val="21"/>
          <w:szCs w:val="21"/>
          <w:u w:val="none"/>
        </w:rPr>
        <w:t>（1）中标人应该在正常营业前在饭堂关键操作间及重点区域完成监控设备的安装，达到全方位监控，以确保对规范操作及食品质量安全进行24小时监督管理，存储时间达到180天以上。具体包括且不仅限于以下区域：</w:t>
      </w:r>
    </w:p>
    <w:p>
      <w:pPr>
        <w:pStyle w:val="6"/>
        <w:spacing w:line="360" w:lineRule="auto"/>
        <w:ind w:left="0" w:firstLine="420" w:firstLineChars="200"/>
        <w:rPr>
          <w:rFonts w:ascii="宋体" w:hAnsi="宋体" w:cs="宋体"/>
          <w:sz w:val="21"/>
          <w:szCs w:val="21"/>
          <w:u w:val="none"/>
        </w:rPr>
      </w:pPr>
      <w:r>
        <w:rPr>
          <w:rFonts w:hint="eastAsia" w:ascii="宋体" w:hAnsi="宋体" w:cs="宋体"/>
          <w:sz w:val="21"/>
          <w:szCs w:val="21"/>
          <w:u w:val="none"/>
        </w:rPr>
        <w:t>①一、二楼各操作间（烹饪间、烧味档、分餐区、烘焙间、洗消间等）；</w:t>
      </w:r>
    </w:p>
    <w:p>
      <w:pPr>
        <w:pStyle w:val="6"/>
        <w:spacing w:line="360" w:lineRule="auto"/>
        <w:ind w:left="0" w:firstLine="420" w:firstLineChars="200"/>
        <w:rPr>
          <w:rFonts w:ascii="宋体" w:hAnsi="宋体" w:cs="宋体"/>
          <w:sz w:val="21"/>
          <w:szCs w:val="21"/>
          <w:u w:val="none"/>
        </w:rPr>
      </w:pPr>
      <w:r>
        <w:rPr>
          <w:rFonts w:hint="eastAsia" w:ascii="宋体" w:hAnsi="宋体" w:cs="宋体"/>
          <w:sz w:val="21"/>
          <w:szCs w:val="21"/>
          <w:u w:val="none"/>
        </w:rPr>
        <w:t>②一、二楼就餐区；</w:t>
      </w:r>
    </w:p>
    <w:p>
      <w:pPr>
        <w:pStyle w:val="6"/>
        <w:spacing w:line="360" w:lineRule="auto"/>
        <w:ind w:left="0" w:firstLine="420" w:firstLineChars="200"/>
        <w:rPr>
          <w:rFonts w:ascii="宋体" w:hAnsi="宋体" w:cs="宋体"/>
          <w:sz w:val="21"/>
          <w:szCs w:val="21"/>
          <w:u w:val="none"/>
        </w:rPr>
      </w:pPr>
      <w:r>
        <w:rPr>
          <w:rFonts w:hint="eastAsia" w:ascii="宋体" w:hAnsi="宋体" w:cs="宋体"/>
          <w:sz w:val="21"/>
          <w:szCs w:val="21"/>
          <w:u w:val="none"/>
        </w:rPr>
        <w:t>③一、二楼收银处；</w:t>
      </w:r>
    </w:p>
    <w:p>
      <w:pPr>
        <w:spacing w:line="360" w:lineRule="auto"/>
        <w:ind w:firstLine="420" w:firstLineChars="200"/>
        <w:rPr>
          <w:rFonts w:ascii="宋体" w:hAnsi="宋体" w:cs="宋体"/>
          <w:szCs w:val="21"/>
          <w:u w:val="none"/>
        </w:rPr>
      </w:pPr>
      <w:r>
        <w:rPr>
          <w:rFonts w:hint="eastAsia" w:ascii="宋体" w:hAnsi="宋体" w:cs="宋体"/>
          <w:szCs w:val="21"/>
          <w:u w:val="none"/>
        </w:rPr>
        <w:t>④一、二楼各出入口。</w:t>
      </w:r>
    </w:p>
    <w:p>
      <w:pPr>
        <w:pStyle w:val="5"/>
        <w:spacing w:line="360" w:lineRule="auto"/>
        <w:ind w:firstLine="420" w:firstLineChars="200"/>
        <w:rPr>
          <w:u w:val="none"/>
        </w:rPr>
      </w:pPr>
      <w:r>
        <w:rPr>
          <w:rFonts w:hint="eastAsia" w:ascii="宋体" w:hAnsi="宋体" w:cs="宋体"/>
          <w:szCs w:val="21"/>
          <w:u w:val="none"/>
        </w:rPr>
        <w:t>★</w:t>
      </w:r>
      <w:r>
        <w:rPr>
          <w:rFonts w:hint="eastAsia" w:ascii="宋体" w:hAnsi="宋体" w:cs="宋体"/>
          <w:kern w:val="2"/>
          <w:sz w:val="21"/>
          <w:szCs w:val="21"/>
          <w:u w:val="none"/>
        </w:rPr>
        <w:t>（2）中标人应按照采购人主管部门的要求，在共同进行现场勘查确定后，按照在合理的位置，如采购人主管部门要求需安装的位置或在合同期内根据实际情况需加装监控设备的，中标人应按照要求安装，设备及安装等所有费用由中标人承担。</w:t>
      </w:r>
    </w:p>
    <w:p>
      <w:pPr>
        <w:spacing w:line="360" w:lineRule="auto"/>
        <w:ind w:firstLine="420" w:firstLineChars="200"/>
        <w:rPr>
          <w:rFonts w:ascii="宋体" w:hAnsi="宋体" w:cs="宋体"/>
          <w:szCs w:val="21"/>
          <w:u w:val="none"/>
        </w:rPr>
      </w:pPr>
      <w:r>
        <w:rPr>
          <w:rFonts w:hint="eastAsia" w:ascii="宋体" w:hAnsi="宋体" w:cs="宋体"/>
          <w:szCs w:val="21"/>
          <w:u w:val="none"/>
        </w:rPr>
        <w:t>★8、</w:t>
      </w:r>
      <w:r>
        <w:rPr>
          <w:rFonts w:hint="eastAsia" w:ascii="宋体" w:hAnsi="宋体" w:cs="宋体"/>
          <w:b/>
          <w:bCs/>
          <w:szCs w:val="21"/>
          <w:u w:val="none"/>
        </w:rPr>
        <w:t>履约保证金：</w:t>
      </w:r>
      <w:r>
        <w:rPr>
          <w:rFonts w:hint="eastAsia" w:ascii="宋体" w:hAnsi="宋体" w:cs="宋体"/>
          <w:szCs w:val="21"/>
          <w:u w:val="none"/>
        </w:rPr>
        <w:t>中标人中标后应缴纳人民币</w:t>
      </w:r>
      <w:r>
        <w:rPr>
          <w:rFonts w:hint="eastAsia" w:ascii="宋体" w:hAnsi="宋体" w:cs="宋体"/>
          <w:b/>
          <w:bCs/>
          <w:szCs w:val="21"/>
          <w:u w:val="none"/>
        </w:rPr>
        <w:t>5</w:t>
      </w:r>
      <w:r>
        <w:rPr>
          <w:rFonts w:hint="eastAsia" w:ascii="宋体" w:hAnsi="宋体" w:cs="宋体"/>
          <w:szCs w:val="21"/>
          <w:u w:val="none"/>
        </w:rPr>
        <w:t>万元作为本项目履约保证金。待中标人合同期后，无发生突发事件或严重的不良事件的，等双方约交接完毕并评价优秀后，采购人将会无息退还履约保证金。</w:t>
      </w:r>
    </w:p>
    <w:p>
      <w:pPr>
        <w:widowControl/>
        <w:spacing w:line="360" w:lineRule="auto"/>
        <w:ind w:firstLine="420" w:firstLineChars="200"/>
        <w:jc w:val="left"/>
        <w:rPr>
          <w:rFonts w:ascii="宋体" w:hAnsi="宋体" w:cs="宋体"/>
          <w:szCs w:val="21"/>
          <w:u w:val="none"/>
        </w:rPr>
      </w:pPr>
      <w:r>
        <w:rPr>
          <w:rFonts w:hint="eastAsia" w:ascii="宋体" w:hAnsi="宋体" w:cs="宋体"/>
          <w:szCs w:val="21"/>
          <w:u w:val="none"/>
        </w:rPr>
        <w:t>★9、中标人应该在正常营业时投入使用“智慧餐厅”系统，并实现以下功能：</w:t>
      </w:r>
    </w:p>
    <w:p>
      <w:pPr>
        <w:widowControl/>
        <w:numPr>
          <w:ilvl w:val="0"/>
          <w:numId w:val="8"/>
        </w:numPr>
        <w:spacing w:line="360" w:lineRule="auto"/>
        <w:ind w:firstLine="420" w:firstLineChars="200"/>
        <w:jc w:val="left"/>
        <w:rPr>
          <w:rFonts w:ascii="宋体" w:hAnsi="宋体" w:cs="宋体"/>
          <w:szCs w:val="21"/>
          <w:u w:val="none"/>
        </w:rPr>
      </w:pPr>
      <w:r>
        <w:rPr>
          <w:rFonts w:hint="eastAsia" w:ascii="宋体" w:hAnsi="宋体" w:cs="宋体"/>
          <w:szCs w:val="21"/>
          <w:u w:val="none"/>
        </w:rPr>
        <w:t>自助称重，开放式一菜一价自由餐，自由、透明、公道、灵活。</w:t>
      </w:r>
    </w:p>
    <w:p>
      <w:pPr>
        <w:widowControl/>
        <w:numPr>
          <w:ilvl w:val="0"/>
          <w:numId w:val="8"/>
        </w:numPr>
        <w:spacing w:line="360" w:lineRule="auto"/>
        <w:ind w:firstLine="420" w:firstLineChars="200"/>
        <w:jc w:val="left"/>
        <w:rPr>
          <w:rFonts w:ascii="宋体" w:hAnsi="宋体" w:cs="宋体"/>
          <w:szCs w:val="21"/>
          <w:u w:val="none"/>
        </w:rPr>
      </w:pPr>
      <w:r>
        <w:rPr>
          <w:rFonts w:hint="eastAsia" w:ascii="宋体" w:hAnsi="宋体" w:cs="宋体"/>
          <w:szCs w:val="21"/>
          <w:u w:val="none"/>
        </w:rPr>
        <w:t>智慧餐盘结算，高效、便捷的结算方式，减少就餐高峰期的排队情况。</w:t>
      </w:r>
    </w:p>
    <w:p>
      <w:pPr>
        <w:widowControl/>
        <w:numPr>
          <w:ilvl w:val="0"/>
          <w:numId w:val="8"/>
        </w:numPr>
        <w:spacing w:line="360" w:lineRule="auto"/>
        <w:ind w:firstLine="420" w:firstLineChars="200"/>
        <w:jc w:val="left"/>
        <w:rPr>
          <w:rFonts w:ascii="宋体" w:hAnsi="宋体" w:cs="宋体"/>
          <w:szCs w:val="21"/>
          <w:u w:val="none"/>
        </w:rPr>
      </w:pPr>
      <w:r>
        <w:rPr>
          <w:rFonts w:hint="eastAsia" w:ascii="宋体" w:hAnsi="宋体" w:cs="宋体"/>
          <w:szCs w:val="21"/>
          <w:u w:val="none"/>
        </w:rPr>
        <w:t>提供便捷操作如下：</w:t>
      </w:r>
    </w:p>
    <w:p>
      <w:pPr>
        <w:widowControl/>
        <w:spacing w:line="360" w:lineRule="auto"/>
        <w:ind w:firstLine="840" w:firstLineChars="400"/>
        <w:jc w:val="left"/>
        <w:rPr>
          <w:rFonts w:ascii="宋体" w:hAnsi="宋体" w:cs="宋体"/>
          <w:szCs w:val="21"/>
          <w:u w:val="none"/>
        </w:rPr>
      </w:pPr>
      <w:r>
        <w:rPr>
          <w:rFonts w:hint="eastAsia" w:ascii="宋体" w:hAnsi="宋体" w:cs="宋体"/>
          <w:szCs w:val="21"/>
          <w:u w:val="none"/>
        </w:rPr>
        <w:t>①关注公众号，自行注册充值</w:t>
      </w:r>
    </w:p>
    <w:p>
      <w:pPr>
        <w:widowControl/>
        <w:spacing w:line="360" w:lineRule="auto"/>
        <w:ind w:firstLine="840" w:firstLineChars="400"/>
        <w:jc w:val="left"/>
        <w:rPr>
          <w:rFonts w:ascii="宋体" w:hAnsi="宋体" w:cs="宋体"/>
          <w:szCs w:val="21"/>
          <w:u w:val="none"/>
        </w:rPr>
      </w:pPr>
      <w:r>
        <w:rPr>
          <w:rFonts w:hint="eastAsia" w:ascii="宋体" w:hAnsi="宋体" w:cs="宋体"/>
          <w:szCs w:val="21"/>
          <w:u w:val="none"/>
        </w:rPr>
        <w:t>②取托盘，到绑卡机处刷脸绑定托盘</w:t>
      </w:r>
    </w:p>
    <w:p>
      <w:pPr>
        <w:widowControl/>
        <w:spacing w:line="360" w:lineRule="auto"/>
        <w:ind w:firstLine="840" w:firstLineChars="400"/>
        <w:jc w:val="left"/>
        <w:rPr>
          <w:rFonts w:ascii="宋体" w:hAnsi="宋体" w:cs="宋体"/>
          <w:szCs w:val="21"/>
          <w:u w:val="none"/>
        </w:rPr>
      </w:pPr>
      <w:r>
        <w:rPr>
          <w:rFonts w:hint="eastAsia" w:ascii="宋体" w:hAnsi="宋体" w:cs="宋体"/>
          <w:szCs w:val="21"/>
          <w:u w:val="none"/>
        </w:rPr>
        <w:t xml:space="preserve">③绑定成功，拿取托盘到各菜盘处自行取菜 </w:t>
      </w:r>
    </w:p>
    <w:p>
      <w:pPr>
        <w:widowControl/>
        <w:spacing w:line="360" w:lineRule="auto"/>
        <w:ind w:firstLine="840" w:firstLineChars="400"/>
        <w:jc w:val="left"/>
        <w:rPr>
          <w:rFonts w:ascii="宋体" w:hAnsi="宋体" w:cs="宋体"/>
          <w:szCs w:val="21"/>
          <w:u w:val="none"/>
        </w:rPr>
      </w:pPr>
      <w:r>
        <w:rPr>
          <w:rFonts w:hint="eastAsia" w:ascii="宋体" w:hAnsi="宋体" w:cs="宋体"/>
          <w:szCs w:val="21"/>
          <w:u w:val="none"/>
        </w:rPr>
        <w:t>④完成取菜后托盘放在下面感应盘上面，自动生成订单</w:t>
      </w:r>
    </w:p>
    <w:p>
      <w:pPr>
        <w:widowControl/>
        <w:spacing w:line="360" w:lineRule="auto"/>
        <w:ind w:firstLine="840" w:firstLineChars="400"/>
        <w:jc w:val="left"/>
        <w:rPr>
          <w:rFonts w:ascii="宋体" w:hAnsi="宋体" w:cs="宋体"/>
          <w:szCs w:val="21"/>
          <w:u w:val="none"/>
        </w:rPr>
      </w:pPr>
      <w:r>
        <w:rPr>
          <w:rFonts w:hint="eastAsia" w:ascii="宋体" w:hAnsi="宋体" w:cs="宋体"/>
          <w:szCs w:val="21"/>
          <w:u w:val="none"/>
        </w:rPr>
        <w:t>⑤自动余额结算</w:t>
      </w:r>
    </w:p>
    <w:p>
      <w:pPr>
        <w:widowControl/>
        <w:spacing w:line="360" w:lineRule="auto"/>
        <w:ind w:firstLine="420" w:firstLineChars="200"/>
        <w:jc w:val="left"/>
        <w:rPr>
          <w:rFonts w:ascii="宋体" w:hAnsi="宋体" w:cs="宋体"/>
          <w:szCs w:val="21"/>
          <w:u w:val="none"/>
        </w:rPr>
      </w:pPr>
      <w:r>
        <w:rPr>
          <w:rFonts w:hint="eastAsia" w:ascii="宋体" w:hAnsi="宋体" w:cs="宋体"/>
          <w:szCs w:val="21"/>
          <w:u w:val="none"/>
        </w:rPr>
        <w:t>★10、中标人应在中标后1个月内在手术室、产房、ICU、介入室、胃镜室等科室增设智能保温柜或温餐车等保温设备（根据采购人实际科室需求进行投放）,解决医生手术餐、误餐等问题。餐厅接单，将餐品打包完成后，由配餐员将餐品摆放至保温设备内。医护人员可以随时取餐，确保保温、安全。</w:t>
      </w:r>
    </w:p>
    <w:p>
      <w:pPr>
        <w:pStyle w:val="5"/>
        <w:rPr>
          <w:u w:val="none"/>
        </w:rPr>
      </w:pPr>
    </w:p>
    <w:p>
      <w:pPr>
        <w:spacing w:line="360" w:lineRule="auto"/>
        <w:rPr>
          <w:b/>
          <w:szCs w:val="21"/>
          <w:u w:val="none"/>
        </w:rPr>
      </w:pPr>
      <w:r>
        <w:rPr>
          <w:rFonts w:hint="eastAsia"/>
          <w:b/>
          <w:szCs w:val="21"/>
          <w:u w:val="none"/>
        </w:rPr>
        <w:t>二、供餐要求：</w:t>
      </w:r>
    </w:p>
    <w:p>
      <w:pPr>
        <w:spacing w:line="360" w:lineRule="auto"/>
        <w:ind w:firstLine="420" w:firstLineChars="200"/>
        <w:rPr>
          <w:rFonts w:ascii="宋体" w:hAnsi="宋体" w:cs="宋体"/>
          <w:szCs w:val="21"/>
          <w:highlight w:val="none"/>
          <w:u w:val="none"/>
        </w:rPr>
      </w:pPr>
      <w:r>
        <w:rPr>
          <w:rFonts w:hint="eastAsia" w:ascii="宋体" w:hAnsi="宋体" w:cs="宋体"/>
          <w:szCs w:val="21"/>
          <w:u w:val="none"/>
        </w:rPr>
        <w:t>1、中标人供应“由消费者自选菜品”的供餐模式。每餐供应食品的种类应包括（但不限于）：粤菜、湘菜、川菜、粥、粉、面类和各类风味小吃等</w:t>
      </w:r>
      <w:r>
        <w:rPr>
          <w:rFonts w:hint="eastAsia" w:ascii="宋体" w:hAnsi="宋体" w:cs="宋体"/>
          <w:szCs w:val="21"/>
          <w:highlight w:val="none"/>
          <w:u w:val="none"/>
        </w:rPr>
        <w:t>，并提供各种调味料如：糖、酱油、辣椒圈/酱等；午、晚餐</w:t>
      </w:r>
      <w:r>
        <w:rPr>
          <w:rFonts w:hint="eastAsia" w:hAnsi="宋体"/>
          <w:szCs w:val="21"/>
          <w:highlight w:val="none"/>
          <w:u w:val="none"/>
          <w:lang w:val="zh-CN"/>
        </w:rPr>
        <w:t>米饭和例汤</w:t>
      </w:r>
      <w:r>
        <w:rPr>
          <w:rFonts w:hint="eastAsia" w:hAnsi="宋体"/>
          <w:szCs w:val="21"/>
          <w:highlight w:val="none"/>
          <w:u w:val="none"/>
        </w:rPr>
        <w:t>可无限</w:t>
      </w:r>
      <w:r>
        <w:rPr>
          <w:rFonts w:hint="eastAsia" w:hAnsi="宋体"/>
          <w:szCs w:val="21"/>
          <w:highlight w:val="none"/>
          <w:u w:val="none"/>
          <w:lang w:val="zh-CN"/>
        </w:rPr>
        <w:t>添加。</w:t>
      </w:r>
    </w:p>
    <w:p>
      <w:pPr>
        <w:spacing w:line="360" w:lineRule="auto"/>
        <w:ind w:firstLine="420" w:firstLineChars="200"/>
        <w:rPr>
          <w:rFonts w:ascii="宋体" w:hAnsi="宋体" w:cs="宋体"/>
          <w:szCs w:val="21"/>
          <w:u w:val="none"/>
        </w:rPr>
      </w:pPr>
      <w:r>
        <w:rPr>
          <w:rFonts w:hint="eastAsia" w:ascii="宋体" w:hAnsi="宋体" w:cs="宋体"/>
          <w:szCs w:val="21"/>
          <w:u w:val="none"/>
        </w:rPr>
        <w:t>2、供餐时间：一楼的供餐时间以满足患者及家属的需求为准，一般供餐时间为6:30至22:30（含宵夜供应）。二楼医院员工就餐区的供餐时间为：早餐6:30-9:00；午餐10:30-13:00；晚餐16:30-19:30；宵夜供应到22:30。中标人应根据医院员工的需求提供夜班人员的宵夜订餐及配送服务。</w:t>
      </w:r>
    </w:p>
    <w:p>
      <w:pPr>
        <w:tabs>
          <w:tab w:val="left" w:pos="1050"/>
          <w:tab w:val="left" w:pos="1155"/>
        </w:tabs>
        <w:autoSpaceDE w:val="0"/>
        <w:autoSpaceDN w:val="0"/>
        <w:adjustRightInd w:val="0"/>
        <w:snapToGrid w:val="0"/>
        <w:spacing w:line="360" w:lineRule="auto"/>
        <w:textAlignment w:val="baseline"/>
        <w:rPr>
          <w:rFonts w:ascii="宋体" w:hAnsi="宋体"/>
          <w:b/>
          <w:bCs/>
          <w:strike/>
          <w:szCs w:val="21"/>
          <w:u w:val="none"/>
        </w:rPr>
      </w:pPr>
      <w:r>
        <w:rPr>
          <w:rFonts w:hint="eastAsia" w:ascii="宋体" w:hAnsi="宋体" w:cs="宋体"/>
          <w:szCs w:val="21"/>
          <w:u w:val="none"/>
        </w:rPr>
        <w:t>★3、</w:t>
      </w:r>
      <w:r>
        <w:rPr>
          <w:rFonts w:hint="eastAsia" w:ascii="宋体" w:hAnsi="宋体" w:cs="宋体"/>
          <w:b/>
          <w:szCs w:val="21"/>
          <w:u w:val="none"/>
        </w:rPr>
        <w:t>住院患者</w:t>
      </w:r>
      <w:r>
        <w:rPr>
          <w:rFonts w:hint="eastAsia" w:ascii="宋体" w:hAnsi="宋体"/>
          <w:b/>
          <w:bCs/>
          <w:szCs w:val="21"/>
          <w:u w:val="none"/>
        </w:rPr>
        <w:t>营养膳食</w:t>
      </w:r>
    </w:p>
    <w:p>
      <w:pPr>
        <w:tabs>
          <w:tab w:val="left" w:pos="1050"/>
          <w:tab w:val="left" w:pos="1155"/>
        </w:tabs>
        <w:autoSpaceDE w:val="0"/>
        <w:autoSpaceDN w:val="0"/>
        <w:adjustRightInd w:val="0"/>
        <w:snapToGrid w:val="0"/>
        <w:spacing w:line="360" w:lineRule="auto"/>
        <w:textAlignment w:val="baseline"/>
        <w:rPr>
          <w:rFonts w:ascii="宋体" w:hAnsi="宋体"/>
          <w:b/>
          <w:bCs/>
          <w:szCs w:val="21"/>
          <w:u w:val="none"/>
        </w:rPr>
      </w:pPr>
      <w:r>
        <w:rPr>
          <w:rFonts w:hint="eastAsia" w:ascii="宋体" w:hAnsi="宋体"/>
          <w:b/>
          <w:bCs/>
          <w:szCs w:val="21"/>
          <w:u w:val="none"/>
        </w:rPr>
        <w:t xml:space="preserve">   （1）营养膳食要求总则</w:t>
      </w:r>
    </w:p>
    <w:p>
      <w:pPr>
        <w:tabs>
          <w:tab w:val="left" w:pos="1050"/>
          <w:tab w:val="left" w:pos="1155"/>
        </w:tabs>
        <w:autoSpaceDE w:val="0"/>
        <w:autoSpaceDN w:val="0"/>
        <w:adjustRightInd w:val="0"/>
        <w:snapToGrid w:val="0"/>
        <w:spacing w:line="360" w:lineRule="auto"/>
        <w:ind w:firstLine="630" w:firstLineChars="300"/>
        <w:textAlignment w:val="baseline"/>
        <w:rPr>
          <w:rFonts w:ascii="宋体" w:hAnsi="宋体" w:cs="宋体"/>
          <w:kern w:val="0"/>
          <w:szCs w:val="21"/>
          <w:u w:val="none"/>
        </w:rPr>
      </w:pPr>
      <w:r>
        <w:rPr>
          <w:rFonts w:hint="eastAsia" w:ascii="宋体" w:hAnsi="宋体" w:cs="SimSun-Identity-H"/>
          <w:bCs/>
          <w:kern w:val="0"/>
          <w:szCs w:val="21"/>
          <w:u w:val="none"/>
        </w:rPr>
        <w:t xml:space="preserve"> ①</w:t>
      </w:r>
      <w:r>
        <w:rPr>
          <w:rFonts w:hint="eastAsia" w:ascii="宋体" w:hAnsi="宋体"/>
          <w:szCs w:val="21"/>
          <w:u w:val="none"/>
        </w:rPr>
        <w:t>在采购人临床营养科的指导</w:t>
      </w:r>
      <w:r>
        <w:rPr>
          <w:rFonts w:hint="eastAsia" w:ascii="宋体" w:hAnsi="宋体" w:cs="宋体"/>
          <w:kern w:val="0"/>
          <w:szCs w:val="21"/>
          <w:u w:val="none"/>
        </w:rPr>
        <w:t>和监督</w:t>
      </w:r>
      <w:r>
        <w:rPr>
          <w:rFonts w:hint="eastAsia" w:ascii="宋体" w:hAnsi="宋体"/>
          <w:szCs w:val="21"/>
          <w:u w:val="none"/>
        </w:rPr>
        <w:t>下，根据</w:t>
      </w:r>
      <w:r>
        <w:rPr>
          <w:rFonts w:hint="eastAsia" w:ascii="宋体" w:hAnsi="宋体" w:cs="宋体"/>
          <w:kern w:val="0"/>
          <w:szCs w:val="21"/>
          <w:u w:val="none"/>
        </w:rPr>
        <w:t>《临床营养技术操作规范》等相关法规进行营养膳食的制作，</w:t>
      </w:r>
      <w:r>
        <w:rPr>
          <w:rFonts w:hint="eastAsia" w:ascii="宋体" w:hAnsi="宋体"/>
          <w:szCs w:val="21"/>
          <w:u w:val="none"/>
        </w:rPr>
        <w:t>执行我院患者营养膳食制作标准</w:t>
      </w:r>
      <w:r>
        <w:rPr>
          <w:rFonts w:hint="eastAsia" w:ascii="宋体" w:hAnsi="宋体" w:cs="宋体"/>
          <w:kern w:val="0"/>
          <w:szCs w:val="21"/>
          <w:u w:val="none"/>
        </w:rPr>
        <w:t>。</w:t>
      </w:r>
    </w:p>
    <w:p>
      <w:pPr>
        <w:tabs>
          <w:tab w:val="left" w:pos="1050"/>
          <w:tab w:val="left" w:pos="1155"/>
        </w:tabs>
        <w:autoSpaceDE w:val="0"/>
        <w:autoSpaceDN w:val="0"/>
        <w:adjustRightInd w:val="0"/>
        <w:snapToGrid w:val="0"/>
        <w:spacing w:line="360" w:lineRule="auto"/>
        <w:ind w:firstLine="630" w:firstLineChars="300"/>
        <w:textAlignment w:val="baseline"/>
        <w:rPr>
          <w:rFonts w:ascii="宋体" w:hAnsi="宋体" w:cs="SimSun-Identity-H"/>
          <w:bCs/>
          <w:kern w:val="0"/>
          <w:szCs w:val="21"/>
          <w:u w:val="none"/>
        </w:rPr>
      </w:pPr>
      <w:r>
        <w:rPr>
          <w:rFonts w:hint="eastAsia" w:ascii="宋体" w:hAnsi="宋体" w:cs="宋体"/>
          <w:kern w:val="0"/>
          <w:szCs w:val="21"/>
          <w:u w:val="none"/>
        </w:rPr>
        <w:t xml:space="preserve"> ②中标人</w:t>
      </w:r>
      <w:r>
        <w:rPr>
          <w:rFonts w:hint="eastAsia" w:ascii="宋体" w:hAnsi="宋体" w:cs="SimSun-Identity-H"/>
          <w:bCs/>
          <w:kern w:val="0"/>
          <w:szCs w:val="21"/>
          <w:u w:val="none"/>
        </w:rPr>
        <w:t>配备</w:t>
      </w:r>
      <w:r>
        <w:rPr>
          <w:rFonts w:hint="eastAsia" w:ascii="宋体" w:hAnsi="宋体" w:cs="宋体"/>
          <w:szCs w:val="21"/>
          <w:u w:val="none"/>
        </w:rPr>
        <w:t>三级或以上《营养师资格证》的</w:t>
      </w:r>
      <w:r>
        <w:rPr>
          <w:rFonts w:hint="eastAsia" w:ascii="宋体" w:hAnsi="宋体" w:cs="SimSun-Identity-H"/>
          <w:bCs/>
          <w:kern w:val="0"/>
          <w:szCs w:val="21"/>
          <w:u w:val="none"/>
        </w:rPr>
        <w:t>营养师和成立营养膳食小组，能够准确完成常用营养膳食的制作。</w:t>
      </w:r>
    </w:p>
    <w:p>
      <w:pPr>
        <w:tabs>
          <w:tab w:val="left" w:pos="1050"/>
          <w:tab w:val="left" w:pos="1155"/>
        </w:tabs>
        <w:autoSpaceDE w:val="0"/>
        <w:autoSpaceDN w:val="0"/>
        <w:adjustRightInd w:val="0"/>
        <w:snapToGrid w:val="0"/>
        <w:spacing w:line="360" w:lineRule="auto"/>
        <w:ind w:firstLine="630" w:firstLineChars="300"/>
        <w:textAlignment w:val="baseline"/>
        <w:rPr>
          <w:rFonts w:ascii="宋体" w:hAnsi="宋体" w:cs="SimSun-Identity-H"/>
          <w:bCs/>
          <w:kern w:val="0"/>
          <w:szCs w:val="21"/>
          <w:u w:val="none"/>
        </w:rPr>
      </w:pPr>
      <w:r>
        <w:rPr>
          <w:rFonts w:hint="eastAsia" w:ascii="宋体" w:hAnsi="宋体" w:cs="SimSun-Identity-H"/>
          <w:bCs/>
          <w:kern w:val="0"/>
          <w:szCs w:val="21"/>
          <w:u w:val="none"/>
        </w:rPr>
        <w:t>③定期对营养膳食小组及相关人员进行专业知识培训。</w:t>
      </w:r>
    </w:p>
    <w:p>
      <w:pPr>
        <w:tabs>
          <w:tab w:val="left" w:pos="1050"/>
          <w:tab w:val="left" w:pos="1155"/>
        </w:tabs>
        <w:autoSpaceDE w:val="0"/>
        <w:autoSpaceDN w:val="0"/>
        <w:adjustRightInd w:val="0"/>
        <w:snapToGrid w:val="0"/>
        <w:spacing w:line="360" w:lineRule="auto"/>
        <w:ind w:firstLine="630" w:firstLineChars="300"/>
        <w:jc w:val="left"/>
        <w:textAlignment w:val="baseline"/>
        <w:rPr>
          <w:rFonts w:ascii="宋体" w:hAnsi="宋体" w:cs="SimSun-Identity-H"/>
          <w:bCs/>
          <w:kern w:val="0"/>
          <w:szCs w:val="21"/>
          <w:u w:val="none"/>
        </w:rPr>
      </w:pPr>
      <w:r>
        <w:rPr>
          <w:rFonts w:hint="eastAsia" w:ascii="宋体" w:hAnsi="宋体" w:cs="SimSun-Identity-H"/>
          <w:bCs/>
          <w:kern w:val="0"/>
          <w:szCs w:val="21"/>
          <w:u w:val="none"/>
        </w:rPr>
        <w:t>④配餐员根据住院患者饮食医嘱，提醒和指引住院患者预订营养膳食。</w:t>
      </w:r>
    </w:p>
    <w:p>
      <w:pPr>
        <w:tabs>
          <w:tab w:val="left" w:pos="1050"/>
          <w:tab w:val="left" w:pos="1155"/>
        </w:tabs>
        <w:autoSpaceDE w:val="0"/>
        <w:autoSpaceDN w:val="0"/>
        <w:adjustRightInd w:val="0"/>
        <w:snapToGrid w:val="0"/>
        <w:spacing w:line="360" w:lineRule="auto"/>
        <w:ind w:firstLine="630" w:firstLineChars="300"/>
        <w:jc w:val="left"/>
        <w:textAlignment w:val="baseline"/>
        <w:rPr>
          <w:rFonts w:ascii="宋体" w:hAnsi="宋体" w:cs="宋体"/>
          <w:szCs w:val="21"/>
          <w:u w:val="none"/>
        </w:rPr>
      </w:pPr>
      <w:r>
        <w:rPr>
          <w:rFonts w:hint="eastAsia" w:ascii="宋体" w:hAnsi="宋体" w:cs="宋体"/>
          <w:szCs w:val="21"/>
          <w:u w:val="none"/>
        </w:rPr>
        <w:t>⑤膳食配制设备、设施和原材料应符合营养膳食的配制要求和食品安全的要求。</w:t>
      </w:r>
    </w:p>
    <w:p>
      <w:pPr>
        <w:tabs>
          <w:tab w:val="left" w:pos="1050"/>
          <w:tab w:val="left" w:pos="1155"/>
        </w:tabs>
        <w:autoSpaceDE w:val="0"/>
        <w:autoSpaceDN w:val="0"/>
        <w:adjustRightInd w:val="0"/>
        <w:snapToGrid w:val="0"/>
        <w:spacing w:line="360" w:lineRule="auto"/>
        <w:ind w:firstLine="630" w:firstLineChars="300"/>
        <w:jc w:val="left"/>
        <w:textAlignment w:val="baseline"/>
        <w:rPr>
          <w:rFonts w:ascii="宋体" w:hAnsi="宋体" w:cs="宋体"/>
          <w:kern w:val="0"/>
          <w:szCs w:val="21"/>
          <w:u w:val="none"/>
        </w:rPr>
      </w:pPr>
      <w:r>
        <w:rPr>
          <w:rFonts w:hint="eastAsia" w:ascii="宋体" w:hAnsi="宋体" w:cs="SimSun-Identity-H"/>
          <w:bCs/>
          <w:kern w:val="0"/>
          <w:szCs w:val="21"/>
          <w:u w:val="none"/>
        </w:rPr>
        <w:t>⑥膳食</w:t>
      </w:r>
      <w:r>
        <w:rPr>
          <w:rFonts w:hint="eastAsia" w:ascii="宋体" w:hAnsi="宋体" w:cs="宋体"/>
          <w:kern w:val="0"/>
          <w:szCs w:val="21"/>
          <w:u w:val="none"/>
        </w:rPr>
        <w:t>配送及相关工作人员卫生达标。要有保温措施，在盛装后能在30分钟内送至指定地点。</w:t>
      </w:r>
    </w:p>
    <w:p>
      <w:pPr>
        <w:tabs>
          <w:tab w:val="left" w:pos="1050"/>
          <w:tab w:val="left" w:pos="1155"/>
        </w:tabs>
        <w:autoSpaceDE w:val="0"/>
        <w:autoSpaceDN w:val="0"/>
        <w:adjustRightInd w:val="0"/>
        <w:snapToGrid w:val="0"/>
        <w:spacing w:line="360" w:lineRule="auto"/>
        <w:ind w:firstLine="630" w:firstLineChars="300"/>
        <w:jc w:val="left"/>
        <w:textAlignment w:val="baseline"/>
        <w:rPr>
          <w:rFonts w:ascii="宋体" w:hAnsi="宋体" w:cs="宋体"/>
          <w:kern w:val="0"/>
          <w:szCs w:val="21"/>
          <w:u w:val="none"/>
        </w:rPr>
      </w:pPr>
      <w:r>
        <w:rPr>
          <w:rFonts w:hint="eastAsia" w:ascii="宋体" w:hAnsi="宋体" w:cs="宋体"/>
          <w:kern w:val="0"/>
          <w:szCs w:val="21"/>
          <w:u w:val="none"/>
        </w:rPr>
        <w:t>⑦不准擅自经营不符合营养膳食要求的餐饮。</w:t>
      </w:r>
    </w:p>
    <w:p>
      <w:pPr>
        <w:spacing w:line="360" w:lineRule="auto"/>
        <w:jc w:val="left"/>
        <w:rPr>
          <w:rFonts w:ascii="宋体" w:hAnsi="宋体"/>
          <w:bCs/>
          <w:szCs w:val="21"/>
          <w:u w:val="none"/>
        </w:rPr>
      </w:pPr>
      <w:r>
        <w:rPr>
          <w:rFonts w:hint="eastAsia" w:ascii="宋体" w:hAnsi="宋体" w:cs="SimSun-Identity-H"/>
          <w:b/>
          <w:bCs/>
          <w:kern w:val="0"/>
          <w:szCs w:val="21"/>
          <w:u w:val="none"/>
        </w:rPr>
        <w:t xml:space="preserve">  </w:t>
      </w:r>
      <w:r>
        <w:rPr>
          <w:rFonts w:hint="eastAsia" w:ascii="宋体" w:hAnsi="宋体" w:cs="SimSun-Identity-H"/>
          <w:bCs/>
          <w:kern w:val="0"/>
          <w:szCs w:val="21"/>
          <w:u w:val="none"/>
        </w:rPr>
        <w:t>（2）</w:t>
      </w:r>
      <w:r>
        <w:rPr>
          <w:rFonts w:hint="eastAsia" w:ascii="宋体" w:hAnsi="宋体"/>
          <w:b/>
          <w:bCs/>
          <w:szCs w:val="21"/>
          <w:u w:val="none"/>
        </w:rPr>
        <w:t>住院患者基本膳食</w:t>
      </w:r>
    </w:p>
    <w:p>
      <w:pPr>
        <w:spacing w:line="360" w:lineRule="auto"/>
        <w:jc w:val="left"/>
        <w:rPr>
          <w:u w:val="none"/>
        </w:rPr>
      </w:pPr>
      <w:r>
        <w:rPr>
          <w:rFonts w:hint="eastAsia" w:ascii="宋体" w:hAnsi="宋体"/>
          <w:szCs w:val="21"/>
          <w:u w:val="none"/>
        </w:rPr>
        <w:t xml:space="preserve">     结合三级甲等医院对住院患者就餐考核的相关标准，采购人临床营养科负责指导普通住院患者饮食食谱编制，以确保患者饮食合理搭配，科学用餐。餐饮公司对此不得擅自更改，如遇特殊情况需要修订须经采购人临床营养科许可。</w:t>
      </w:r>
    </w:p>
    <w:p>
      <w:pPr>
        <w:spacing w:line="360" w:lineRule="auto"/>
        <w:rPr>
          <w:rFonts w:ascii="宋体" w:hAnsi="宋体"/>
          <w:szCs w:val="21"/>
          <w:u w:val="none"/>
        </w:rPr>
      </w:pPr>
      <w:r>
        <w:rPr>
          <w:rFonts w:hint="eastAsia" w:ascii="宋体" w:hAnsi="宋体" w:cs="SimSun-Identity-H"/>
          <w:bCs/>
          <w:kern w:val="0"/>
          <w:szCs w:val="21"/>
          <w:u w:val="none"/>
        </w:rPr>
        <w:t xml:space="preserve"> （3）</w:t>
      </w:r>
      <w:r>
        <w:rPr>
          <w:rFonts w:hint="eastAsia" w:ascii="宋体" w:hAnsi="宋体"/>
          <w:b/>
          <w:bCs/>
          <w:szCs w:val="21"/>
          <w:u w:val="none"/>
        </w:rPr>
        <w:t>住院患者特殊治疗膳食</w:t>
      </w:r>
    </w:p>
    <w:p>
      <w:pPr>
        <w:spacing w:line="360" w:lineRule="auto"/>
        <w:ind w:firstLine="630" w:firstLineChars="300"/>
        <w:jc w:val="left"/>
        <w:rPr>
          <w:rFonts w:ascii="宋体" w:hAnsi="宋体"/>
          <w:szCs w:val="21"/>
          <w:u w:val="none"/>
        </w:rPr>
      </w:pPr>
      <w:r>
        <w:rPr>
          <w:rFonts w:hint="eastAsia" w:ascii="宋体" w:hAnsi="宋体"/>
          <w:bCs/>
          <w:szCs w:val="21"/>
          <w:u w:val="none"/>
        </w:rPr>
        <w:t>特殊治疗膳食</w:t>
      </w:r>
      <w:r>
        <w:rPr>
          <w:rFonts w:hint="eastAsia" w:ascii="宋体" w:hAnsi="宋体"/>
          <w:szCs w:val="21"/>
          <w:u w:val="none"/>
        </w:rPr>
        <w:t>是住院患者饮食的核心内容，它作为某些疾病诊断及治疗的重要辅助手段，要求执行我院《住院患者膳食手册》，严格执行制作规程，并贯穿于整个临床医疗过程的始终。</w:t>
      </w:r>
    </w:p>
    <w:p>
      <w:pPr>
        <w:spacing w:line="360" w:lineRule="auto"/>
        <w:jc w:val="left"/>
        <w:rPr>
          <w:rFonts w:ascii="宋体" w:hAnsi="宋体"/>
          <w:szCs w:val="21"/>
          <w:u w:val="none"/>
        </w:rPr>
      </w:pPr>
      <w:r>
        <w:rPr>
          <w:rFonts w:hint="eastAsia" w:ascii="宋体" w:hAnsi="宋体"/>
          <w:szCs w:val="21"/>
          <w:u w:val="none"/>
        </w:rPr>
        <w:t xml:space="preserve">   ①糖尿病膳食</w:t>
      </w:r>
    </w:p>
    <w:p>
      <w:pPr>
        <w:spacing w:line="360" w:lineRule="auto"/>
        <w:jc w:val="left"/>
        <w:rPr>
          <w:rFonts w:ascii="宋体" w:hAnsi="宋体"/>
          <w:szCs w:val="21"/>
          <w:u w:val="none"/>
        </w:rPr>
      </w:pPr>
      <w:r>
        <w:rPr>
          <w:rFonts w:hint="eastAsia" w:ascii="宋体" w:hAnsi="宋体"/>
          <w:szCs w:val="21"/>
          <w:u w:val="none"/>
        </w:rPr>
        <w:t xml:space="preserve">    a.膳食管理：严格按医嘱要求编制食谱的内容并制作，按规定的餐次定时送餐。</w:t>
      </w:r>
    </w:p>
    <w:p>
      <w:pPr>
        <w:spacing w:line="360" w:lineRule="auto"/>
        <w:jc w:val="left"/>
        <w:rPr>
          <w:rFonts w:ascii="宋体" w:hAnsi="宋体"/>
          <w:szCs w:val="21"/>
          <w:u w:val="none"/>
        </w:rPr>
      </w:pPr>
      <w:r>
        <w:rPr>
          <w:rFonts w:hint="eastAsia" w:ascii="宋体" w:hAnsi="宋体"/>
          <w:szCs w:val="21"/>
          <w:u w:val="none"/>
        </w:rPr>
        <w:t xml:space="preserve">    b.主食制作：a)全日主食的份量均应准确称量；b)早餐的点心类和半流质食品制作应按规定的份量进行配制。</w:t>
      </w:r>
    </w:p>
    <w:p>
      <w:pPr>
        <w:spacing w:line="360" w:lineRule="auto"/>
        <w:jc w:val="left"/>
        <w:rPr>
          <w:rFonts w:ascii="宋体" w:hAnsi="宋体"/>
          <w:szCs w:val="21"/>
          <w:u w:val="none"/>
        </w:rPr>
      </w:pPr>
      <w:r>
        <w:rPr>
          <w:rFonts w:hint="eastAsia" w:ascii="宋体" w:hAnsi="宋体"/>
          <w:szCs w:val="21"/>
          <w:u w:val="none"/>
        </w:rPr>
        <w:t xml:space="preserve">    c.副食制作：a)所有动物性食品应按规定的量进行配制；b）蔬菜的量按规定的量配给；c）所有菜肴的烹调制作均按规定不放糖及含糖的调味品；d）所有菜肴的烹调应按菜谱要求，一律要求清淡，菜谱中有焖或红烧的菜肴一律不能按普通常规先炸后煮，应该采用短时快炒后加水煮熟的方法。</w:t>
      </w:r>
    </w:p>
    <w:p>
      <w:pPr>
        <w:spacing w:line="360" w:lineRule="auto"/>
        <w:jc w:val="left"/>
        <w:rPr>
          <w:rFonts w:ascii="宋体" w:hAnsi="宋体"/>
          <w:szCs w:val="21"/>
          <w:u w:val="none"/>
        </w:rPr>
      </w:pPr>
      <w:r>
        <w:rPr>
          <w:rFonts w:hint="eastAsia" w:ascii="宋体" w:hAnsi="宋体"/>
          <w:szCs w:val="21"/>
          <w:u w:val="none"/>
        </w:rPr>
        <w:t xml:space="preserve">    ②低蛋白膳</w:t>
      </w:r>
    </w:p>
    <w:p>
      <w:pPr>
        <w:spacing w:line="360" w:lineRule="auto"/>
        <w:jc w:val="left"/>
        <w:rPr>
          <w:rFonts w:ascii="宋体" w:hAnsi="宋体"/>
          <w:szCs w:val="21"/>
          <w:u w:val="none"/>
        </w:rPr>
      </w:pPr>
      <w:r>
        <w:rPr>
          <w:rFonts w:hint="eastAsia" w:ascii="宋体" w:hAnsi="宋体"/>
          <w:szCs w:val="21"/>
          <w:u w:val="none"/>
        </w:rPr>
        <w:t xml:space="preserve">    a.主食制作：a）米饭或面食类（麦淀粉）的份量应按各种类规定的量予以配给；b）低蛋白主食品的份量应按标准量配给。</w:t>
      </w:r>
    </w:p>
    <w:p>
      <w:pPr>
        <w:spacing w:line="360" w:lineRule="auto"/>
        <w:jc w:val="left"/>
        <w:rPr>
          <w:rFonts w:ascii="宋体" w:hAnsi="宋体"/>
          <w:szCs w:val="21"/>
          <w:u w:val="none"/>
        </w:rPr>
      </w:pPr>
      <w:r>
        <w:rPr>
          <w:rFonts w:hint="eastAsia" w:ascii="宋体" w:hAnsi="宋体"/>
          <w:szCs w:val="21"/>
          <w:u w:val="none"/>
        </w:rPr>
        <w:t xml:space="preserve">    b.副食制作：a）优质蛋白食品的动物性副食品应规定量配给；b）所有的副食应低盐（标准为：</w:t>
      </w:r>
      <w:r>
        <w:rPr>
          <w:rFonts w:ascii="宋体" w:hAnsi="宋体"/>
          <w:szCs w:val="21"/>
          <w:u w:val="none"/>
        </w:rPr>
        <w:t>2</w:t>
      </w:r>
      <w:r>
        <w:rPr>
          <w:rFonts w:hint="eastAsia" w:ascii="宋体" w:hAnsi="宋体"/>
          <w:szCs w:val="21"/>
          <w:u w:val="none"/>
        </w:rPr>
        <w:t>～</w:t>
      </w:r>
      <w:r>
        <w:rPr>
          <w:rFonts w:ascii="宋体" w:hAnsi="宋体"/>
          <w:szCs w:val="21"/>
          <w:u w:val="none"/>
        </w:rPr>
        <w:t>3g/</w:t>
      </w:r>
      <w:r>
        <w:rPr>
          <w:rFonts w:hint="eastAsia" w:ascii="宋体" w:hAnsi="宋体"/>
          <w:szCs w:val="21"/>
          <w:u w:val="none"/>
        </w:rPr>
        <w:t>人</w:t>
      </w:r>
      <w:r>
        <w:rPr>
          <w:rFonts w:ascii="宋体" w:hAnsi="宋体"/>
          <w:szCs w:val="21"/>
          <w:u w:val="none"/>
        </w:rPr>
        <w:t>/</w:t>
      </w:r>
      <w:r>
        <w:rPr>
          <w:rFonts w:hint="eastAsia" w:ascii="宋体" w:hAnsi="宋体"/>
          <w:szCs w:val="21"/>
          <w:u w:val="none"/>
        </w:rPr>
        <w:t>日）烹调。</w:t>
      </w:r>
    </w:p>
    <w:p>
      <w:pPr>
        <w:spacing w:line="360" w:lineRule="auto"/>
        <w:jc w:val="left"/>
        <w:rPr>
          <w:rFonts w:ascii="宋体" w:hAnsi="宋体"/>
          <w:szCs w:val="21"/>
          <w:u w:val="none"/>
        </w:rPr>
      </w:pPr>
      <w:r>
        <w:rPr>
          <w:rFonts w:hint="eastAsia" w:ascii="宋体" w:hAnsi="宋体"/>
          <w:szCs w:val="21"/>
          <w:u w:val="none"/>
        </w:rPr>
        <w:t xml:space="preserve">    ③流质膳食</w:t>
      </w:r>
    </w:p>
    <w:p>
      <w:pPr>
        <w:spacing w:line="360" w:lineRule="auto"/>
        <w:jc w:val="left"/>
        <w:rPr>
          <w:rFonts w:ascii="宋体" w:hAnsi="宋体"/>
          <w:szCs w:val="21"/>
          <w:u w:val="none"/>
        </w:rPr>
      </w:pPr>
      <w:r>
        <w:rPr>
          <w:rFonts w:hint="eastAsia" w:ascii="宋体" w:hAnsi="宋体"/>
          <w:szCs w:val="21"/>
          <w:u w:val="none"/>
        </w:rPr>
        <w:t xml:space="preserve">    份量的供给：应按规定的份量配给患者，每天</w:t>
      </w:r>
      <w:r>
        <w:rPr>
          <w:rFonts w:ascii="宋体" w:hAnsi="宋体"/>
          <w:szCs w:val="21"/>
          <w:u w:val="none"/>
        </w:rPr>
        <w:t>6</w:t>
      </w:r>
      <w:r>
        <w:rPr>
          <w:rFonts w:hint="eastAsia" w:ascii="宋体" w:hAnsi="宋体"/>
          <w:szCs w:val="21"/>
          <w:u w:val="none"/>
        </w:rPr>
        <w:t>餐，送餐</w:t>
      </w:r>
      <w:r>
        <w:rPr>
          <w:rFonts w:ascii="宋体" w:hAnsi="宋体"/>
          <w:szCs w:val="21"/>
          <w:u w:val="none"/>
        </w:rPr>
        <w:t>5</w:t>
      </w:r>
      <w:r>
        <w:rPr>
          <w:rFonts w:hint="eastAsia" w:ascii="宋体" w:hAnsi="宋体"/>
          <w:szCs w:val="21"/>
          <w:u w:val="none"/>
        </w:rPr>
        <w:t>或</w:t>
      </w:r>
      <w:r>
        <w:rPr>
          <w:rFonts w:ascii="宋体" w:hAnsi="宋体"/>
          <w:szCs w:val="21"/>
          <w:u w:val="none"/>
        </w:rPr>
        <w:t>6</w:t>
      </w:r>
      <w:r>
        <w:rPr>
          <w:rFonts w:hint="eastAsia" w:ascii="宋体" w:hAnsi="宋体"/>
          <w:szCs w:val="21"/>
          <w:u w:val="none"/>
        </w:rPr>
        <w:t>次。</w:t>
      </w:r>
    </w:p>
    <w:p>
      <w:pPr>
        <w:spacing w:line="360" w:lineRule="auto"/>
        <w:jc w:val="left"/>
        <w:rPr>
          <w:rFonts w:ascii="宋体" w:hAnsi="宋体"/>
          <w:szCs w:val="21"/>
          <w:u w:val="none"/>
        </w:rPr>
      </w:pPr>
      <w:r>
        <w:rPr>
          <w:rFonts w:hint="eastAsia" w:ascii="宋体" w:hAnsi="宋体"/>
          <w:szCs w:val="21"/>
          <w:u w:val="none"/>
        </w:rPr>
        <w:t xml:space="preserve">    ④低盐膳食</w:t>
      </w:r>
    </w:p>
    <w:p>
      <w:pPr>
        <w:spacing w:line="360" w:lineRule="auto"/>
        <w:jc w:val="left"/>
        <w:rPr>
          <w:rFonts w:ascii="宋体" w:hAnsi="宋体"/>
          <w:szCs w:val="21"/>
          <w:u w:val="none"/>
        </w:rPr>
      </w:pPr>
      <w:r>
        <w:rPr>
          <w:rFonts w:hint="eastAsia" w:ascii="宋体" w:hAnsi="宋体"/>
          <w:szCs w:val="21"/>
          <w:u w:val="none"/>
        </w:rPr>
        <w:t xml:space="preserve">    所有的菜肴均应按要求给予食盐（标准为：</w:t>
      </w:r>
      <w:r>
        <w:rPr>
          <w:rFonts w:ascii="宋体" w:hAnsi="宋体"/>
          <w:szCs w:val="21"/>
          <w:u w:val="none"/>
        </w:rPr>
        <w:t>2</w:t>
      </w:r>
      <w:r>
        <w:rPr>
          <w:rFonts w:hint="eastAsia" w:ascii="宋体" w:hAnsi="宋体"/>
          <w:szCs w:val="21"/>
          <w:u w:val="none"/>
        </w:rPr>
        <w:t>～</w:t>
      </w:r>
      <w:r>
        <w:rPr>
          <w:rFonts w:ascii="宋体" w:hAnsi="宋体"/>
          <w:szCs w:val="21"/>
          <w:u w:val="none"/>
        </w:rPr>
        <w:t>3g/</w:t>
      </w:r>
      <w:r>
        <w:rPr>
          <w:rFonts w:hint="eastAsia" w:ascii="宋体" w:hAnsi="宋体"/>
          <w:szCs w:val="21"/>
          <w:u w:val="none"/>
        </w:rPr>
        <w:t>人</w:t>
      </w:r>
      <w:r>
        <w:rPr>
          <w:rFonts w:ascii="宋体" w:hAnsi="宋体"/>
          <w:szCs w:val="21"/>
          <w:u w:val="none"/>
        </w:rPr>
        <w:t>/</w:t>
      </w:r>
      <w:r>
        <w:rPr>
          <w:rFonts w:hint="eastAsia" w:ascii="宋体" w:hAnsi="宋体"/>
          <w:szCs w:val="21"/>
          <w:u w:val="none"/>
        </w:rPr>
        <w:t>日）或少量酱油，按</w:t>
      </w:r>
      <w:r>
        <w:rPr>
          <w:rFonts w:ascii="宋体" w:hAnsi="宋体"/>
          <w:szCs w:val="21"/>
          <w:u w:val="none"/>
        </w:rPr>
        <w:t>1g/</w:t>
      </w:r>
      <w:r>
        <w:rPr>
          <w:rFonts w:hint="eastAsia" w:ascii="宋体" w:hAnsi="宋体"/>
          <w:szCs w:val="21"/>
          <w:u w:val="none"/>
        </w:rPr>
        <w:t>人</w:t>
      </w:r>
      <w:r>
        <w:rPr>
          <w:rFonts w:ascii="宋体" w:hAnsi="宋体"/>
          <w:szCs w:val="21"/>
          <w:u w:val="none"/>
        </w:rPr>
        <w:t>/</w:t>
      </w:r>
      <w:r>
        <w:rPr>
          <w:rFonts w:hint="eastAsia" w:ascii="宋体" w:hAnsi="宋体"/>
          <w:szCs w:val="21"/>
          <w:u w:val="none"/>
        </w:rPr>
        <w:t>餐配给，不能另外添加其他调味品如味精、调味酱等，菜谱中不应出现盐腌制的菜如咸菜等。</w:t>
      </w:r>
    </w:p>
    <w:p>
      <w:pPr>
        <w:spacing w:line="360" w:lineRule="auto"/>
        <w:jc w:val="left"/>
        <w:rPr>
          <w:rFonts w:ascii="宋体" w:hAnsi="宋体"/>
          <w:szCs w:val="21"/>
          <w:u w:val="none"/>
        </w:rPr>
      </w:pPr>
      <w:r>
        <w:rPr>
          <w:rFonts w:hint="eastAsia" w:ascii="宋体" w:hAnsi="宋体"/>
          <w:szCs w:val="21"/>
          <w:u w:val="none"/>
        </w:rPr>
        <w:t xml:space="preserve">    ⑤低嘌呤膳食</w:t>
      </w:r>
    </w:p>
    <w:p>
      <w:pPr>
        <w:spacing w:line="360" w:lineRule="auto"/>
        <w:jc w:val="left"/>
        <w:rPr>
          <w:rFonts w:ascii="宋体" w:hAnsi="宋体"/>
          <w:szCs w:val="21"/>
          <w:u w:val="none"/>
        </w:rPr>
      </w:pPr>
      <w:r>
        <w:rPr>
          <w:rFonts w:hint="eastAsia" w:ascii="宋体" w:hAnsi="宋体"/>
          <w:szCs w:val="21"/>
          <w:u w:val="none"/>
        </w:rPr>
        <w:t xml:space="preserve">    a.所有的菜肴应清淡少油，可按普通菜肴放油量的</w:t>
      </w:r>
      <w:r>
        <w:rPr>
          <w:rFonts w:ascii="宋体" w:hAnsi="宋体"/>
          <w:szCs w:val="21"/>
          <w:u w:val="none"/>
        </w:rPr>
        <w:t>1/2</w:t>
      </w:r>
      <w:r>
        <w:rPr>
          <w:rFonts w:hint="eastAsia" w:ascii="宋体" w:hAnsi="宋体"/>
          <w:szCs w:val="21"/>
          <w:u w:val="none"/>
        </w:rPr>
        <w:t>量给予；</w:t>
      </w:r>
    </w:p>
    <w:p>
      <w:pPr>
        <w:spacing w:line="360" w:lineRule="auto"/>
        <w:jc w:val="left"/>
        <w:rPr>
          <w:rFonts w:ascii="宋体" w:hAnsi="宋体"/>
          <w:szCs w:val="21"/>
          <w:u w:val="none"/>
        </w:rPr>
      </w:pPr>
      <w:r>
        <w:rPr>
          <w:rFonts w:hint="eastAsia" w:ascii="宋体" w:hAnsi="宋体"/>
          <w:szCs w:val="21"/>
          <w:u w:val="none"/>
        </w:rPr>
        <w:t xml:space="preserve">    b.菜肴的品种应在规定的品种范围内配给。</w:t>
      </w:r>
    </w:p>
    <w:p>
      <w:pPr>
        <w:spacing w:line="360" w:lineRule="auto"/>
        <w:jc w:val="left"/>
        <w:rPr>
          <w:rFonts w:ascii="宋体" w:hAnsi="宋体"/>
          <w:szCs w:val="21"/>
          <w:u w:val="none"/>
        </w:rPr>
      </w:pPr>
      <w:r>
        <w:rPr>
          <w:rFonts w:hint="eastAsia" w:ascii="宋体" w:hAnsi="宋体"/>
          <w:szCs w:val="21"/>
          <w:u w:val="none"/>
        </w:rPr>
        <w:t xml:space="preserve">    ⑥低脂膳食</w:t>
      </w:r>
    </w:p>
    <w:p>
      <w:pPr>
        <w:spacing w:line="360" w:lineRule="auto"/>
        <w:jc w:val="left"/>
        <w:rPr>
          <w:rFonts w:ascii="宋体" w:hAnsi="宋体"/>
          <w:szCs w:val="21"/>
          <w:u w:val="none"/>
        </w:rPr>
      </w:pPr>
      <w:r>
        <w:rPr>
          <w:rFonts w:hint="eastAsia" w:ascii="宋体" w:hAnsi="宋体"/>
          <w:szCs w:val="21"/>
          <w:u w:val="none"/>
        </w:rPr>
        <w:t xml:space="preserve">    a.所有菜肴的烹调应少放烹调油，全日用油量限制在</w:t>
      </w:r>
      <w:r>
        <w:rPr>
          <w:rFonts w:ascii="宋体" w:hAnsi="宋体"/>
          <w:szCs w:val="21"/>
          <w:u w:val="none"/>
        </w:rPr>
        <w:t>30g/</w:t>
      </w:r>
      <w:r>
        <w:rPr>
          <w:rFonts w:hint="eastAsia" w:ascii="宋体" w:hAnsi="宋体"/>
          <w:szCs w:val="21"/>
          <w:u w:val="none"/>
        </w:rPr>
        <w:t>人以内，按</w:t>
      </w:r>
      <w:r>
        <w:rPr>
          <w:rFonts w:ascii="宋体" w:hAnsi="宋体"/>
          <w:szCs w:val="21"/>
          <w:u w:val="none"/>
        </w:rPr>
        <w:t>10g/</w:t>
      </w:r>
      <w:r>
        <w:rPr>
          <w:rFonts w:hint="eastAsia" w:ascii="宋体" w:hAnsi="宋体"/>
          <w:szCs w:val="21"/>
          <w:u w:val="none"/>
        </w:rPr>
        <w:t>人</w:t>
      </w:r>
      <w:r>
        <w:rPr>
          <w:rFonts w:ascii="宋体" w:hAnsi="宋体"/>
          <w:szCs w:val="21"/>
          <w:u w:val="none"/>
        </w:rPr>
        <w:t>/</w:t>
      </w:r>
      <w:r>
        <w:rPr>
          <w:rFonts w:hint="eastAsia" w:ascii="宋体" w:hAnsi="宋体"/>
          <w:szCs w:val="21"/>
          <w:u w:val="none"/>
        </w:rPr>
        <w:t>餐给予烹调油，不可采用煎炸的烹调方法；</w:t>
      </w:r>
    </w:p>
    <w:p>
      <w:pPr>
        <w:spacing w:line="360" w:lineRule="auto"/>
        <w:jc w:val="left"/>
        <w:rPr>
          <w:rFonts w:ascii="宋体" w:hAnsi="宋体"/>
          <w:szCs w:val="21"/>
          <w:u w:val="none"/>
        </w:rPr>
      </w:pPr>
      <w:r>
        <w:rPr>
          <w:rFonts w:hint="eastAsia" w:ascii="宋体" w:hAnsi="宋体"/>
          <w:szCs w:val="21"/>
          <w:u w:val="none"/>
        </w:rPr>
        <w:t xml:space="preserve">    b.所有动物性食品应选用精瘦的部分。</w:t>
      </w:r>
    </w:p>
    <w:p>
      <w:pPr>
        <w:spacing w:line="360" w:lineRule="auto"/>
        <w:jc w:val="left"/>
        <w:rPr>
          <w:rFonts w:ascii="宋体" w:hAnsi="宋体"/>
          <w:szCs w:val="21"/>
          <w:u w:val="none"/>
        </w:rPr>
      </w:pPr>
      <w:r>
        <w:rPr>
          <w:rFonts w:hint="eastAsia" w:ascii="宋体" w:hAnsi="宋体"/>
          <w:szCs w:val="21"/>
          <w:u w:val="none"/>
        </w:rPr>
        <w:t xml:space="preserve">   ⑦钾钠平衡膳食</w:t>
      </w:r>
    </w:p>
    <w:p>
      <w:pPr>
        <w:spacing w:line="360" w:lineRule="auto"/>
        <w:jc w:val="left"/>
        <w:rPr>
          <w:rFonts w:ascii="宋体" w:hAnsi="宋体"/>
          <w:szCs w:val="21"/>
          <w:u w:val="none"/>
        </w:rPr>
      </w:pPr>
      <w:r>
        <w:rPr>
          <w:rFonts w:hint="eastAsia" w:ascii="宋体" w:hAnsi="宋体"/>
          <w:szCs w:val="21"/>
          <w:u w:val="none"/>
        </w:rPr>
        <w:t xml:space="preserve">    a.所有的主副食均应在烹调前准确称量，按规定的量配给；</w:t>
      </w:r>
    </w:p>
    <w:p>
      <w:pPr>
        <w:spacing w:line="360" w:lineRule="auto"/>
        <w:ind w:left="630" w:hanging="630" w:hangingChars="300"/>
        <w:jc w:val="left"/>
        <w:rPr>
          <w:rFonts w:ascii="宋体" w:hAnsi="宋体"/>
          <w:szCs w:val="21"/>
          <w:u w:val="none"/>
        </w:rPr>
      </w:pPr>
      <w:r>
        <w:rPr>
          <w:rFonts w:hint="eastAsia" w:ascii="宋体" w:hAnsi="宋体"/>
          <w:szCs w:val="21"/>
          <w:u w:val="none"/>
        </w:rPr>
        <w:t xml:space="preserve">    b.膳食采用的食物品种应按规定的菜谱配备，不能擅自更换，若偶尔有时不能及时购买指定的品种，需先报告营养师，征得同意后方可更改相当的品种。</w:t>
      </w:r>
    </w:p>
    <w:p>
      <w:pPr>
        <w:spacing w:line="360" w:lineRule="auto"/>
        <w:jc w:val="left"/>
        <w:rPr>
          <w:rFonts w:ascii="宋体" w:hAnsi="宋体"/>
          <w:szCs w:val="21"/>
          <w:u w:val="none"/>
        </w:rPr>
      </w:pPr>
      <w:r>
        <w:rPr>
          <w:rFonts w:hint="eastAsia" w:ascii="宋体" w:hAnsi="宋体"/>
          <w:szCs w:val="21"/>
          <w:u w:val="none"/>
        </w:rPr>
        <w:t xml:space="preserve">    c.烹调用食盐或酱油的量必须按食谱规定的量准确配给（每餐分开称量），如不按规定操作。</w:t>
      </w:r>
    </w:p>
    <w:p>
      <w:pPr>
        <w:spacing w:line="360" w:lineRule="auto"/>
        <w:jc w:val="left"/>
        <w:rPr>
          <w:rFonts w:ascii="宋体" w:hAnsi="宋体"/>
          <w:szCs w:val="21"/>
          <w:u w:val="none"/>
        </w:rPr>
      </w:pPr>
      <w:r>
        <w:rPr>
          <w:rFonts w:hint="eastAsia" w:ascii="宋体" w:hAnsi="宋体"/>
          <w:szCs w:val="21"/>
          <w:u w:val="none"/>
        </w:rPr>
        <w:t xml:space="preserve">    ⑧钙磷平衡膳食</w:t>
      </w:r>
    </w:p>
    <w:p>
      <w:pPr>
        <w:spacing w:line="360" w:lineRule="auto"/>
        <w:jc w:val="left"/>
        <w:rPr>
          <w:rFonts w:ascii="宋体" w:hAnsi="宋体"/>
          <w:szCs w:val="21"/>
          <w:u w:val="none"/>
        </w:rPr>
      </w:pPr>
      <w:r>
        <w:rPr>
          <w:rFonts w:hint="eastAsia" w:ascii="宋体" w:hAnsi="宋体"/>
          <w:szCs w:val="21"/>
          <w:u w:val="none"/>
        </w:rPr>
        <w:t xml:space="preserve">    a.所有的主副食均应在烹调前准确称量，按规定的量配给；</w:t>
      </w:r>
    </w:p>
    <w:p>
      <w:pPr>
        <w:spacing w:line="360" w:lineRule="auto"/>
        <w:ind w:left="630" w:hanging="630" w:hangingChars="300"/>
        <w:jc w:val="left"/>
        <w:rPr>
          <w:rFonts w:ascii="宋体" w:hAnsi="宋体"/>
          <w:szCs w:val="21"/>
          <w:u w:val="none"/>
        </w:rPr>
      </w:pPr>
      <w:r>
        <w:rPr>
          <w:rFonts w:hint="eastAsia" w:ascii="宋体" w:hAnsi="宋体"/>
          <w:szCs w:val="21"/>
          <w:u w:val="none"/>
        </w:rPr>
        <w:t xml:space="preserve">    b.膳食采用的食物品种应按规定的菜谱配备，不能擅自更换，若偶尔有时不能及时购买指定的品种，需先报告营养师，征得同意后方可更改相当的品种。</w:t>
      </w:r>
    </w:p>
    <w:p>
      <w:pPr>
        <w:spacing w:line="360" w:lineRule="auto"/>
        <w:jc w:val="left"/>
        <w:rPr>
          <w:rFonts w:ascii="宋体" w:hAnsi="宋体"/>
          <w:szCs w:val="21"/>
          <w:u w:val="none"/>
        </w:rPr>
      </w:pPr>
      <w:r>
        <w:rPr>
          <w:rFonts w:hint="eastAsia" w:ascii="宋体" w:hAnsi="宋体"/>
          <w:szCs w:val="21"/>
          <w:u w:val="none"/>
        </w:rPr>
        <w:t xml:space="preserve">    c.烹调所有的膳食包括主食和副食都必须用蒸馏水。</w:t>
      </w:r>
    </w:p>
    <w:p>
      <w:pPr>
        <w:spacing w:line="360" w:lineRule="auto"/>
        <w:jc w:val="left"/>
        <w:rPr>
          <w:rFonts w:ascii="宋体" w:hAnsi="宋体"/>
          <w:szCs w:val="21"/>
          <w:u w:val="none"/>
        </w:rPr>
      </w:pPr>
      <w:r>
        <w:rPr>
          <w:rFonts w:hint="eastAsia" w:ascii="宋体" w:hAnsi="宋体"/>
          <w:szCs w:val="21"/>
          <w:u w:val="none"/>
        </w:rPr>
        <w:t xml:space="preserve">    ⑨戒碘膳食</w:t>
      </w:r>
    </w:p>
    <w:p>
      <w:pPr>
        <w:spacing w:line="360" w:lineRule="auto"/>
        <w:jc w:val="left"/>
        <w:rPr>
          <w:rFonts w:ascii="宋体" w:hAnsi="宋体"/>
          <w:szCs w:val="21"/>
          <w:u w:val="none"/>
        </w:rPr>
      </w:pPr>
      <w:r>
        <w:rPr>
          <w:rFonts w:hint="eastAsia" w:ascii="宋体" w:hAnsi="宋体"/>
          <w:szCs w:val="21"/>
          <w:u w:val="none"/>
        </w:rPr>
        <w:t xml:space="preserve">    a.采用的食物品种应避免含碘高的海产品包括海鱼和海带、各种菌藻类；</w:t>
      </w:r>
    </w:p>
    <w:p>
      <w:pPr>
        <w:spacing w:line="360" w:lineRule="auto"/>
        <w:jc w:val="left"/>
        <w:rPr>
          <w:rFonts w:ascii="宋体" w:hAnsi="宋体"/>
          <w:szCs w:val="21"/>
          <w:u w:val="none"/>
        </w:rPr>
      </w:pPr>
      <w:r>
        <w:rPr>
          <w:rFonts w:hint="eastAsia" w:ascii="宋体" w:hAnsi="宋体"/>
          <w:szCs w:val="21"/>
          <w:u w:val="none"/>
        </w:rPr>
        <w:t xml:space="preserve">    b.烹调用的食盐应采用无碘盐。</w:t>
      </w:r>
    </w:p>
    <w:p>
      <w:pPr>
        <w:spacing w:line="360" w:lineRule="auto"/>
        <w:jc w:val="left"/>
        <w:rPr>
          <w:rFonts w:ascii="宋体" w:hAnsi="宋体"/>
          <w:szCs w:val="21"/>
          <w:u w:val="none"/>
        </w:rPr>
      </w:pPr>
      <w:r>
        <w:rPr>
          <w:rFonts w:hint="eastAsia" w:ascii="宋体" w:hAnsi="宋体"/>
          <w:szCs w:val="21"/>
          <w:u w:val="none"/>
        </w:rPr>
        <w:t xml:space="preserve">    ⑩戒糖膳食</w:t>
      </w:r>
    </w:p>
    <w:p>
      <w:pPr>
        <w:tabs>
          <w:tab w:val="left" w:pos="1050"/>
          <w:tab w:val="left" w:pos="1155"/>
        </w:tabs>
        <w:autoSpaceDE w:val="0"/>
        <w:autoSpaceDN w:val="0"/>
        <w:adjustRightInd w:val="0"/>
        <w:snapToGrid w:val="0"/>
        <w:spacing w:line="360" w:lineRule="auto"/>
        <w:ind w:firstLine="420"/>
        <w:jc w:val="left"/>
        <w:textAlignment w:val="baseline"/>
        <w:rPr>
          <w:rFonts w:ascii="宋体" w:hAnsi="宋体"/>
          <w:szCs w:val="21"/>
          <w:u w:val="none"/>
        </w:rPr>
      </w:pPr>
      <w:r>
        <w:rPr>
          <w:rFonts w:hint="eastAsia" w:ascii="宋体" w:hAnsi="宋体"/>
          <w:szCs w:val="21"/>
          <w:u w:val="none"/>
        </w:rPr>
        <w:t>所有副食的烹调均禁用蔗糖及其他含糖的调味酱料。</w:t>
      </w:r>
    </w:p>
    <w:p>
      <w:pPr>
        <w:tabs>
          <w:tab w:val="left" w:pos="1050"/>
          <w:tab w:val="left" w:pos="1155"/>
        </w:tabs>
        <w:autoSpaceDE w:val="0"/>
        <w:autoSpaceDN w:val="0"/>
        <w:adjustRightInd w:val="0"/>
        <w:snapToGrid w:val="0"/>
        <w:spacing w:line="360" w:lineRule="auto"/>
        <w:ind w:firstLine="420"/>
        <w:jc w:val="left"/>
        <w:textAlignment w:val="baseline"/>
        <w:rPr>
          <w:rFonts w:ascii="宋体" w:hAnsi="宋体"/>
          <w:b/>
          <w:szCs w:val="21"/>
          <w:u w:val="none"/>
        </w:rPr>
      </w:pPr>
      <w:r>
        <w:rPr>
          <w:rFonts w:hint="eastAsia" w:ascii="宋体" w:hAnsi="宋体" w:cs="SimSun-Identity-H"/>
          <w:bCs/>
          <w:kern w:val="0"/>
          <w:szCs w:val="21"/>
          <w:u w:val="none"/>
        </w:rPr>
        <w:t>（4）</w:t>
      </w:r>
      <w:r>
        <w:rPr>
          <w:rFonts w:hint="eastAsia" w:ascii="宋体" w:hAnsi="宋体"/>
          <w:b/>
          <w:szCs w:val="21"/>
          <w:u w:val="none"/>
        </w:rPr>
        <w:t>住院产妇月子餐</w:t>
      </w:r>
    </w:p>
    <w:p>
      <w:pPr>
        <w:tabs>
          <w:tab w:val="left" w:pos="1050"/>
          <w:tab w:val="left" w:pos="1155"/>
        </w:tabs>
        <w:autoSpaceDE w:val="0"/>
        <w:autoSpaceDN w:val="0"/>
        <w:adjustRightInd w:val="0"/>
        <w:snapToGrid w:val="0"/>
        <w:spacing w:line="360" w:lineRule="auto"/>
        <w:ind w:firstLine="420"/>
        <w:jc w:val="left"/>
        <w:textAlignment w:val="baseline"/>
        <w:rPr>
          <w:u w:val="none"/>
        </w:rPr>
      </w:pPr>
      <w:r>
        <w:rPr>
          <w:rFonts w:hint="eastAsia" w:ascii="宋体" w:hAnsi="宋体"/>
          <w:szCs w:val="21"/>
          <w:u w:val="none"/>
        </w:rPr>
        <w:t>在采购人临床营养科的指导下，按月子餐规范配置营养膳食，</w:t>
      </w:r>
      <w:r>
        <w:rPr>
          <w:rFonts w:hint="eastAsia" w:ascii="宋体" w:hAnsi="宋体" w:cs="宋体"/>
          <w:szCs w:val="21"/>
          <w:u w:val="none"/>
        </w:rPr>
        <w:t>纯利润不得超过10%</w:t>
      </w:r>
      <w:r>
        <w:rPr>
          <w:rFonts w:hint="eastAsia" w:ascii="宋体" w:hAnsi="宋体"/>
          <w:szCs w:val="21"/>
          <w:u w:val="none"/>
        </w:rPr>
        <w:t xml:space="preserve"> 。</w:t>
      </w:r>
    </w:p>
    <w:p>
      <w:pPr>
        <w:spacing w:line="360" w:lineRule="auto"/>
        <w:ind w:firstLine="420" w:firstLineChars="200"/>
        <w:rPr>
          <w:rFonts w:ascii="宋体" w:hAnsi="宋体" w:cs="宋体"/>
          <w:szCs w:val="21"/>
          <w:u w:val="none"/>
        </w:rPr>
      </w:pPr>
      <w:r>
        <w:rPr>
          <w:rFonts w:hint="eastAsia" w:ascii="宋体" w:hAnsi="宋体" w:cs="宋体"/>
          <w:szCs w:val="21"/>
          <w:u w:val="none"/>
        </w:rPr>
        <w:t>4、中标人供应的菜品种类要求：</w:t>
      </w:r>
    </w:p>
    <w:p>
      <w:pPr>
        <w:spacing w:line="360" w:lineRule="auto"/>
        <w:ind w:firstLine="420" w:firstLineChars="200"/>
        <w:rPr>
          <w:rFonts w:ascii="宋体" w:hAnsi="宋体"/>
          <w:szCs w:val="21"/>
          <w:u w:val="none"/>
        </w:rPr>
      </w:pPr>
      <w:r>
        <w:rPr>
          <w:rFonts w:hint="eastAsia" w:ascii="宋体" w:hAnsi="宋体" w:cs="宋体"/>
          <w:szCs w:val="21"/>
          <w:u w:val="none"/>
        </w:rPr>
        <w:t>（1）早餐品种：应配备豆浆、面制包点、粥类、粉面、</w:t>
      </w:r>
      <w:r>
        <w:rPr>
          <w:rFonts w:hint="eastAsia" w:ascii="宋体" w:hAnsi="宋体"/>
          <w:szCs w:val="21"/>
          <w:u w:val="none"/>
        </w:rPr>
        <w:t>粗粮、</w:t>
      </w:r>
      <w:r>
        <w:rPr>
          <w:rFonts w:hint="eastAsia" w:ascii="宋体" w:hAnsi="宋体" w:cs="宋体"/>
          <w:szCs w:val="21"/>
          <w:u w:val="none"/>
        </w:rPr>
        <w:t>饺子、云吞、肠粉、鸡蛋、糕点、油条、炒粉/面、牛奶、小菜等多个品种，要求营养搭配合理，每日不低于24个品种，每月更换一批，不得重复，以满足不同口味的就餐要求。</w:t>
      </w:r>
      <w:r>
        <w:rPr>
          <w:rFonts w:hint="eastAsia" w:ascii="宋体" w:hAnsi="宋体"/>
          <w:szCs w:val="21"/>
          <w:u w:val="none"/>
        </w:rPr>
        <w:t>所有品种均为自制，不准外购销售。</w:t>
      </w:r>
    </w:p>
    <w:p>
      <w:pPr>
        <w:spacing w:line="360" w:lineRule="auto"/>
        <w:ind w:firstLine="420" w:firstLineChars="200"/>
        <w:rPr>
          <w:rFonts w:ascii="宋体" w:hAnsi="宋体" w:cs="宋体"/>
          <w:szCs w:val="21"/>
          <w:u w:val="none"/>
        </w:rPr>
      </w:pPr>
      <w:r>
        <w:rPr>
          <w:rFonts w:hint="eastAsia" w:ascii="宋体" w:hAnsi="宋体" w:cs="宋体"/>
          <w:szCs w:val="21"/>
          <w:u w:val="none"/>
        </w:rPr>
        <w:t>（2）午、晚餐品种：要求提供</w:t>
      </w:r>
      <w:r>
        <w:rPr>
          <w:rFonts w:hint="eastAsia" w:ascii="宋体" w:hAnsi="宋体"/>
          <w:szCs w:val="21"/>
          <w:u w:val="none"/>
        </w:rPr>
        <w:t>各式风味套餐、</w:t>
      </w:r>
      <w:r>
        <w:rPr>
          <w:rFonts w:hint="eastAsia" w:ascii="宋体" w:hAnsi="宋体" w:cs="宋体"/>
          <w:szCs w:val="21"/>
          <w:u w:val="none"/>
        </w:rPr>
        <w:t>烧味类、鱼类、猪肉类、主食类、小炒类、煲仔饭类、老火靓汤、粉面类、包点类、蔬菜类、清润甜品类等多个品种供选择，保证食材新鲜，</w:t>
      </w:r>
      <w:r>
        <w:rPr>
          <w:rFonts w:hint="eastAsia" w:ascii="宋体" w:hAnsi="宋体"/>
          <w:szCs w:val="21"/>
          <w:u w:val="none"/>
        </w:rPr>
        <w:t>每天午、晚餐确保提供中午主荤8个或以上、半荤12个、素菜5个各不相同的自选菜式（不含增值特色服务餐），晚餐不少于主荤和半荤各4-8个不相同的自选菜式，可供选择菜品中午不少于25个，晚上不少于20个，当天午餐与晚餐的品种不得重复。高、中、低档比例合理，</w:t>
      </w:r>
      <w:r>
        <w:rPr>
          <w:rFonts w:hint="eastAsia" w:ascii="宋体" w:hAnsi="宋体" w:cs="宋体"/>
          <w:szCs w:val="21"/>
          <w:u w:val="none"/>
        </w:rPr>
        <w:t>每周应更新菜式，每周与上周重复的菜式不得超过30%</w:t>
      </w:r>
      <w:r>
        <w:rPr>
          <w:rFonts w:hint="eastAsia" w:ascii="宋体" w:hAnsi="宋体"/>
          <w:szCs w:val="21"/>
          <w:u w:val="none"/>
        </w:rPr>
        <w:t>，隔天不相同</w:t>
      </w:r>
      <w:r>
        <w:rPr>
          <w:rFonts w:hint="eastAsia" w:ascii="宋体" w:hAnsi="宋体" w:cs="宋体"/>
          <w:szCs w:val="21"/>
          <w:u w:val="none"/>
        </w:rPr>
        <w:t>。</w:t>
      </w:r>
    </w:p>
    <w:p>
      <w:pPr>
        <w:spacing w:line="360" w:lineRule="auto"/>
        <w:ind w:firstLine="420" w:firstLineChars="200"/>
        <w:rPr>
          <w:u w:val="none"/>
        </w:rPr>
      </w:pPr>
      <w:r>
        <w:rPr>
          <w:rFonts w:hint="eastAsia" w:ascii="宋体" w:hAnsi="宋体"/>
          <w:szCs w:val="21"/>
          <w:u w:val="none"/>
        </w:rPr>
        <w:t>（3）中标人</w:t>
      </w:r>
      <w:r>
        <w:rPr>
          <w:rFonts w:hint="eastAsia" w:ascii="宋体" w:hAnsi="宋体" w:cs="宋体"/>
          <w:szCs w:val="21"/>
          <w:u w:val="none"/>
        </w:rPr>
        <w:t>应在每周五前制定下一周的菜单，</w:t>
      </w:r>
      <w:r>
        <w:rPr>
          <w:rFonts w:hint="eastAsia" w:ascii="宋体" w:hAnsi="宋体"/>
          <w:szCs w:val="21"/>
          <w:u w:val="none"/>
        </w:rPr>
        <w:t>制定的菜单须经招标人审核同意，根据招标人实际要求补充或修改。饭菜样式要经常更新，每月推出6至10个或以上新菜品。每周提前公示菜单，</w:t>
      </w:r>
      <w:r>
        <w:rPr>
          <w:rStyle w:val="20"/>
          <w:rFonts w:hint="eastAsia"/>
          <w:u w:val="none"/>
        </w:rPr>
        <w:t>当日品种及售价在就餐区域进行LED显示屏滚动及</w:t>
      </w:r>
      <w:r>
        <w:rPr>
          <w:rFonts w:hint="eastAsia" w:ascii="宋体" w:hAnsi="宋体" w:cs="宋体"/>
          <w:szCs w:val="21"/>
          <w:u w:val="none"/>
        </w:rPr>
        <w:t>微信群内发布，</w:t>
      </w:r>
      <w:r>
        <w:rPr>
          <w:rFonts w:hint="eastAsia" w:ascii="宋体" w:hAnsi="宋体"/>
          <w:szCs w:val="21"/>
          <w:u w:val="none"/>
        </w:rPr>
        <w:t>确保满足职工和住院患者的饮食需要。增值服务特色餐定价须经招标人批准，且低于同类实体店5%以上，实行配送服务。</w:t>
      </w:r>
    </w:p>
    <w:p>
      <w:pPr>
        <w:spacing w:line="360" w:lineRule="auto"/>
        <w:ind w:firstLine="420" w:firstLineChars="200"/>
        <w:rPr>
          <w:rFonts w:ascii="宋体" w:hAnsi="宋体" w:cs="宋体"/>
          <w:color w:val="FF0000"/>
          <w:szCs w:val="21"/>
          <w:u w:val="none"/>
        </w:rPr>
      </w:pPr>
      <w:r>
        <w:rPr>
          <w:rFonts w:hint="eastAsia" w:ascii="宋体" w:hAnsi="宋体" w:cs="宋体"/>
          <w:szCs w:val="21"/>
          <w:u w:val="none"/>
        </w:rPr>
        <w:t>★（4）新菜品供应：中标人推出新菜品前，须向采购人主管部门提供菜品的成本卡（包括所用材料、单位用量、单位成本等）供采购人审核日确认</w:t>
      </w:r>
      <w:r>
        <w:rPr>
          <w:rFonts w:hint="eastAsia" w:ascii="宋体" w:hAnsi="宋体" w:cs="宋体"/>
          <w:color w:val="FF0000"/>
          <w:szCs w:val="21"/>
          <w:u w:val="none"/>
        </w:rPr>
        <w:t>。</w:t>
      </w:r>
    </w:p>
    <w:p>
      <w:pPr>
        <w:spacing w:line="360" w:lineRule="auto"/>
        <w:ind w:firstLine="420" w:firstLineChars="200"/>
        <w:rPr>
          <w:rFonts w:ascii="宋体" w:hAnsi="宋体" w:cs="宋体"/>
          <w:szCs w:val="21"/>
          <w:u w:val="none"/>
        </w:rPr>
      </w:pPr>
      <w:r>
        <w:rPr>
          <w:rFonts w:hint="eastAsia" w:ascii="宋体" w:hAnsi="宋体" w:cs="宋体"/>
          <w:szCs w:val="21"/>
          <w:u w:val="none"/>
        </w:rPr>
        <w:t>★5、中标人提供餐饮的价格：</w:t>
      </w:r>
    </w:p>
    <w:p>
      <w:pPr>
        <w:tabs>
          <w:tab w:val="left" w:pos="1050"/>
          <w:tab w:val="left" w:pos="1155"/>
        </w:tabs>
        <w:autoSpaceDE w:val="0"/>
        <w:autoSpaceDN w:val="0"/>
        <w:adjustRightInd w:val="0"/>
        <w:snapToGrid w:val="0"/>
        <w:spacing w:line="360" w:lineRule="auto"/>
        <w:ind w:firstLine="462" w:firstLineChars="220"/>
        <w:textAlignment w:val="baseline"/>
        <w:rPr>
          <w:rFonts w:ascii="宋体" w:hAnsi="宋体" w:cs="宋体"/>
          <w:szCs w:val="21"/>
          <w:u w:val="none"/>
        </w:rPr>
      </w:pPr>
      <w:r>
        <w:rPr>
          <w:rFonts w:hint="eastAsia" w:ascii="宋体" w:hAnsi="宋体" w:cs="宋体"/>
          <w:szCs w:val="21"/>
          <w:u w:val="none"/>
        </w:rPr>
        <w:t>（1）所有的商品必须明码标价进行销售。</w:t>
      </w:r>
    </w:p>
    <w:p>
      <w:pPr>
        <w:widowControl/>
        <w:spacing w:line="360" w:lineRule="auto"/>
        <w:ind w:firstLine="420" w:firstLineChars="200"/>
        <w:jc w:val="left"/>
        <w:rPr>
          <w:rFonts w:ascii="宋体" w:hAnsi="宋体" w:cs="宋体"/>
          <w:szCs w:val="21"/>
          <w:u w:val="none"/>
        </w:rPr>
      </w:pPr>
      <w:r>
        <w:rPr>
          <w:rFonts w:hint="eastAsia" w:ascii="宋体" w:hAnsi="宋体" w:cs="宋体"/>
          <w:szCs w:val="21"/>
          <w:u w:val="none"/>
        </w:rPr>
        <w:t>（2）中标人必须按成本价为职工提供餐饮和按成本价提供医院的公务餐（菜谱应低于市场价的 20%；）、会议餐、职工包餐、盒饭、采购人需要的各类临时性用餐服务。</w:t>
      </w:r>
    </w:p>
    <w:p>
      <w:pPr>
        <w:widowControl/>
        <w:spacing w:line="360" w:lineRule="auto"/>
        <w:ind w:firstLine="420" w:firstLineChars="200"/>
        <w:jc w:val="left"/>
        <w:rPr>
          <w:rFonts w:ascii="宋体" w:hAnsi="宋体" w:cs="宋体"/>
          <w:szCs w:val="21"/>
          <w:u w:val="none"/>
        </w:rPr>
      </w:pPr>
      <w:r>
        <w:rPr>
          <w:rFonts w:hint="eastAsia" w:ascii="宋体" w:hAnsi="宋体" w:cs="宋体"/>
          <w:szCs w:val="21"/>
          <w:u w:val="none"/>
        </w:rPr>
        <w:t>（3）</w:t>
      </w:r>
      <w:r>
        <w:rPr>
          <w:rFonts w:hint="eastAsia" w:ascii="宋体" w:hAnsi="宋体" w:cs="SimSun-Identity-H"/>
          <w:bCs/>
          <w:kern w:val="0"/>
          <w:szCs w:val="21"/>
          <w:u w:val="none"/>
        </w:rPr>
        <w:t>各类</w:t>
      </w:r>
      <w:r>
        <w:rPr>
          <w:rFonts w:hint="eastAsia" w:ascii="宋体" w:hAnsi="宋体"/>
          <w:b/>
          <w:bCs/>
          <w:szCs w:val="21"/>
          <w:u w:val="none"/>
        </w:rPr>
        <w:t>特殊治疗膳食，</w:t>
      </w:r>
      <w:r>
        <w:rPr>
          <w:rFonts w:hint="eastAsia" w:ascii="宋体" w:hAnsi="宋体" w:cs="宋体"/>
          <w:szCs w:val="21"/>
          <w:u w:val="none"/>
        </w:rPr>
        <w:t>定价不得高于住院患者基本膳食定价的一倍。</w:t>
      </w:r>
    </w:p>
    <w:p>
      <w:pPr>
        <w:widowControl/>
        <w:spacing w:line="360" w:lineRule="auto"/>
        <w:ind w:firstLine="420" w:firstLineChars="200"/>
        <w:jc w:val="left"/>
        <w:rPr>
          <w:rFonts w:ascii="宋体" w:hAnsi="宋体" w:cs="宋体"/>
          <w:szCs w:val="21"/>
          <w:u w:val="none"/>
        </w:rPr>
      </w:pPr>
      <w:r>
        <w:rPr>
          <w:rFonts w:hint="eastAsia" w:ascii="宋体" w:hAnsi="宋体" w:cs="宋体"/>
          <w:szCs w:val="21"/>
          <w:u w:val="none"/>
        </w:rPr>
        <w:t>（4）饭堂餐饮价格由采购人监管，餐饮定价、伙食标准须经采购人同意后才能实行。基础餐标定价以标书为准，其他菜式及餐饮服务（自选菜等）定价由中标人与采购人按本招标文件约定确定。</w:t>
      </w:r>
    </w:p>
    <w:p>
      <w:pPr>
        <w:tabs>
          <w:tab w:val="left" w:pos="1050"/>
          <w:tab w:val="left" w:pos="1155"/>
        </w:tabs>
        <w:autoSpaceDE w:val="0"/>
        <w:autoSpaceDN w:val="0"/>
        <w:adjustRightInd w:val="0"/>
        <w:snapToGrid w:val="0"/>
        <w:spacing w:line="360" w:lineRule="auto"/>
        <w:ind w:firstLine="432"/>
        <w:textAlignment w:val="baseline"/>
        <w:rPr>
          <w:rFonts w:ascii="宋体" w:hAnsi="宋体" w:cs="宋体"/>
          <w:szCs w:val="21"/>
          <w:u w:val="none"/>
        </w:rPr>
      </w:pPr>
      <w:r>
        <w:rPr>
          <w:rFonts w:hint="eastAsia" w:ascii="宋体" w:hAnsi="宋体" w:cs="宋体"/>
          <w:szCs w:val="21"/>
          <w:u w:val="none"/>
        </w:rPr>
        <w:t>（5） 中标人在职工就餐区提供的早、午、晚餐，</w:t>
      </w:r>
      <w:r>
        <w:rPr>
          <w:rFonts w:hint="eastAsia"/>
          <w:u w:val="none"/>
        </w:rPr>
        <w:t>同类型、同品种、同份量的不得高于市场价，早餐每个菜品单价不得超过4元</w:t>
      </w:r>
      <w:r>
        <w:rPr>
          <w:rFonts w:hint="eastAsia" w:ascii="宋体" w:hAnsi="宋体" w:cs="宋体"/>
          <w:szCs w:val="21"/>
          <w:u w:val="none"/>
        </w:rPr>
        <w:t>，午、晚餐每个菜品单价荤菜类定价不得超过10元，半荤菜（</w:t>
      </w:r>
      <w:r>
        <w:rPr>
          <w:rFonts w:hint="eastAsia" w:ascii="宋体" w:hAnsi="宋体"/>
          <w:szCs w:val="21"/>
          <w:u w:val="none"/>
        </w:rPr>
        <w:t>荤、素混炒类</w:t>
      </w:r>
      <w:r>
        <w:rPr>
          <w:rFonts w:hint="eastAsia" w:ascii="宋体" w:hAnsi="宋体" w:cs="宋体"/>
          <w:szCs w:val="21"/>
          <w:u w:val="none"/>
        </w:rPr>
        <w:t>）定价不得超过6元、素菜类定价不得超过2元（特殊菜式或小炒类、煲仔饭类、炖汤除外，但不得高于成本价），另设置快餐套餐/</w:t>
      </w:r>
      <w:r>
        <w:rPr>
          <w:rFonts w:hint="eastAsia" w:hAnsi="宋体"/>
          <w:szCs w:val="21"/>
          <w:u w:val="none"/>
          <w:lang w:val="zh-CN"/>
        </w:rPr>
        <w:t>标准餐（含一素、一</w:t>
      </w:r>
      <w:r>
        <w:rPr>
          <w:rFonts w:hint="eastAsia" w:ascii="宋体" w:hAnsi="宋体" w:cs="宋体"/>
          <w:szCs w:val="21"/>
          <w:u w:val="none"/>
        </w:rPr>
        <w:t>半荤</w:t>
      </w:r>
      <w:r>
        <w:rPr>
          <w:rFonts w:hint="eastAsia" w:hAnsi="宋体"/>
          <w:szCs w:val="21"/>
          <w:u w:val="none"/>
          <w:lang w:val="zh-CN"/>
        </w:rPr>
        <w:t>、一全荤），最高定价不得超过14元。</w:t>
      </w:r>
      <w:r>
        <w:rPr>
          <w:rFonts w:hint="eastAsia" w:ascii="宋体" w:hAnsi="宋体" w:cs="宋体"/>
          <w:szCs w:val="21"/>
          <w:highlight w:val="none"/>
          <w:u w:val="none"/>
        </w:rPr>
        <w:t>午、晚餐</w:t>
      </w:r>
      <w:r>
        <w:rPr>
          <w:rFonts w:hint="eastAsia" w:hAnsi="宋体"/>
          <w:szCs w:val="21"/>
          <w:highlight w:val="none"/>
          <w:u w:val="none"/>
          <w:lang w:val="zh-CN"/>
        </w:rPr>
        <w:t>米饭</w:t>
      </w:r>
      <w:r>
        <w:rPr>
          <w:rFonts w:hint="eastAsia" w:hAnsi="宋体"/>
          <w:szCs w:val="21"/>
          <w:highlight w:val="none"/>
          <w:u w:val="none"/>
        </w:rPr>
        <w:t>定价不高于0.5元</w:t>
      </w:r>
      <w:r>
        <w:rPr>
          <w:rFonts w:hint="eastAsia" w:hAnsi="宋体"/>
          <w:szCs w:val="21"/>
          <w:highlight w:val="none"/>
          <w:u w:val="none"/>
          <w:lang w:val="zh-CN"/>
        </w:rPr>
        <w:t>，并</w:t>
      </w:r>
      <w:r>
        <w:rPr>
          <w:rFonts w:hint="eastAsia" w:hAnsi="宋体"/>
          <w:szCs w:val="21"/>
          <w:highlight w:val="none"/>
          <w:u w:val="none"/>
        </w:rPr>
        <w:t>可无限随意</w:t>
      </w:r>
      <w:r>
        <w:rPr>
          <w:rFonts w:hint="eastAsia" w:hAnsi="宋体"/>
          <w:szCs w:val="21"/>
          <w:highlight w:val="none"/>
          <w:u w:val="none"/>
          <w:lang w:val="zh-CN"/>
        </w:rPr>
        <w:t>添</w:t>
      </w:r>
      <w:r>
        <w:rPr>
          <w:rFonts w:hint="eastAsia" w:hAnsi="宋体"/>
          <w:szCs w:val="21"/>
          <w:u w:val="none"/>
          <w:lang w:val="zh-CN"/>
        </w:rPr>
        <w:t>加。投标时须提交</w:t>
      </w:r>
      <w:r>
        <w:rPr>
          <w:rFonts w:hint="eastAsia" w:hAnsi="宋体"/>
          <w:szCs w:val="21"/>
          <w:u w:val="none"/>
        </w:rPr>
        <w:t>菜品的</w:t>
      </w:r>
      <w:r>
        <w:rPr>
          <w:rFonts w:hint="eastAsia" w:hAnsi="宋体"/>
          <w:szCs w:val="21"/>
          <w:u w:val="none"/>
          <w:lang w:val="zh-CN"/>
        </w:rPr>
        <w:t>报价方案，</w:t>
      </w:r>
      <w:r>
        <w:rPr>
          <w:rFonts w:hint="eastAsia" w:ascii="宋体" w:hAnsi="宋体" w:cs="宋体"/>
          <w:szCs w:val="21"/>
          <w:u w:val="none"/>
        </w:rPr>
        <w:t>如需调价应向采购人主管部门提交书面申请并经同意后方可调整。医院员工在一楼就餐区消费时应享受与二楼同样的价格优惠和优先服务待遇。</w:t>
      </w:r>
    </w:p>
    <w:p>
      <w:pPr>
        <w:spacing w:line="360" w:lineRule="auto"/>
        <w:ind w:firstLine="210" w:firstLineChars="100"/>
        <w:rPr>
          <w:rFonts w:ascii="宋体" w:hAnsi="宋体" w:cs="宋体"/>
          <w:szCs w:val="21"/>
          <w:u w:val="none"/>
        </w:rPr>
      </w:pPr>
      <w:r>
        <w:rPr>
          <w:rFonts w:hint="eastAsia" w:ascii="宋体" w:hAnsi="宋体" w:cs="宋体"/>
          <w:szCs w:val="21"/>
          <w:u w:val="none"/>
        </w:rPr>
        <w:t>★（6）投标人需在供应方案中列明所供应的早餐的每个品种菜式、午晚餐的荤菜、半荤菜以及素菜的菜式以及供应方案，至少包含以下内容：</w:t>
      </w:r>
    </w:p>
    <w:p>
      <w:pPr>
        <w:spacing w:line="360" w:lineRule="auto"/>
        <w:ind w:firstLine="441" w:firstLineChars="210"/>
        <w:rPr>
          <w:rFonts w:ascii="宋体" w:hAnsi="宋体" w:cs="宋体"/>
          <w:szCs w:val="21"/>
          <w:u w:val="none"/>
        </w:rPr>
      </w:pPr>
      <w:r>
        <w:rPr>
          <w:rFonts w:hint="eastAsia" w:ascii="宋体" w:hAnsi="宋体" w:cs="宋体"/>
          <w:szCs w:val="21"/>
          <w:u w:val="none"/>
        </w:rPr>
        <w:t>①计划供应的早餐所有品种菜式名录</w:t>
      </w:r>
    </w:p>
    <w:p>
      <w:pPr>
        <w:spacing w:line="360" w:lineRule="auto"/>
        <w:ind w:firstLine="441" w:firstLineChars="210"/>
        <w:rPr>
          <w:rFonts w:ascii="宋体" w:hAnsi="宋体"/>
          <w:szCs w:val="21"/>
          <w:u w:val="none"/>
          <w:lang w:val="zh-CN"/>
        </w:rPr>
      </w:pPr>
      <w:r>
        <w:rPr>
          <w:rFonts w:hint="eastAsia" w:ascii="宋体" w:hAnsi="宋体"/>
          <w:szCs w:val="21"/>
          <w:u w:val="none"/>
        </w:rPr>
        <w:t>②</w:t>
      </w:r>
      <w:r>
        <w:rPr>
          <w:rFonts w:hint="eastAsia" w:ascii="宋体" w:hAnsi="宋体" w:cs="宋体"/>
          <w:szCs w:val="21"/>
          <w:u w:val="none"/>
        </w:rPr>
        <w:t>计</w:t>
      </w:r>
      <w:r>
        <w:rPr>
          <w:rFonts w:hint="eastAsia" w:ascii="宋体" w:hAnsi="宋体"/>
          <w:szCs w:val="21"/>
          <w:u w:val="none"/>
          <w:lang w:val="zh-CN"/>
        </w:rPr>
        <w:t>划供应的所有荤菜菜式名录</w:t>
      </w:r>
    </w:p>
    <w:p>
      <w:pPr>
        <w:spacing w:line="360" w:lineRule="auto"/>
        <w:ind w:firstLine="441" w:firstLineChars="210"/>
        <w:rPr>
          <w:rFonts w:ascii="宋体" w:hAnsi="宋体"/>
          <w:szCs w:val="21"/>
          <w:u w:val="none"/>
          <w:lang w:val="zh-CN"/>
        </w:rPr>
      </w:pPr>
      <w:r>
        <w:rPr>
          <w:rFonts w:hint="eastAsia" w:ascii="宋体" w:hAnsi="宋体"/>
          <w:szCs w:val="21"/>
          <w:u w:val="none"/>
        </w:rPr>
        <w:t>③</w:t>
      </w:r>
      <w:r>
        <w:rPr>
          <w:rFonts w:hint="eastAsia" w:ascii="宋体" w:hAnsi="宋体"/>
          <w:szCs w:val="21"/>
          <w:u w:val="none"/>
          <w:lang w:val="zh-CN"/>
        </w:rPr>
        <w:t>计划供应的所有半荤菜菜式名录</w:t>
      </w:r>
    </w:p>
    <w:p>
      <w:pPr>
        <w:spacing w:line="360" w:lineRule="auto"/>
        <w:ind w:firstLine="441" w:firstLineChars="210"/>
        <w:rPr>
          <w:rFonts w:ascii="宋体" w:hAnsi="宋体"/>
          <w:szCs w:val="21"/>
          <w:u w:val="none"/>
          <w:lang w:val="zh-CN"/>
        </w:rPr>
      </w:pPr>
      <w:r>
        <w:rPr>
          <w:rFonts w:hint="eastAsia" w:ascii="宋体" w:hAnsi="宋体"/>
          <w:szCs w:val="21"/>
          <w:u w:val="none"/>
        </w:rPr>
        <w:t>④</w:t>
      </w:r>
      <w:r>
        <w:rPr>
          <w:rFonts w:hint="eastAsia" w:ascii="宋体" w:hAnsi="宋体"/>
          <w:szCs w:val="21"/>
          <w:u w:val="none"/>
          <w:lang w:val="zh-CN"/>
        </w:rPr>
        <w:t>计划供应的所有素菜菜式名录</w:t>
      </w:r>
    </w:p>
    <w:p>
      <w:pPr>
        <w:spacing w:line="360" w:lineRule="auto"/>
        <w:ind w:firstLine="441" w:firstLineChars="210"/>
        <w:rPr>
          <w:rFonts w:ascii="宋体" w:hAnsi="宋体"/>
          <w:szCs w:val="21"/>
          <w:u w:val="none"/>
          <w:lang w:val="zh-CN"/>
        </w:rPr>
      </w:pPr>
      <w:r>
        <w:rPr>
          <w:rFonts w:hint="eastAsia" w:ascii="宋体" w:hAnsi="宋体"/>
          <w:szCs w:val="21"/>
          <w:u w:val="none"/>
        </w:rPr>
        <w:t>⑤</w:t>
      </w:r>
      <w:r>
        <w:rPr>
          <w:rFonts w:hint="eastAsia" w:ascii="宋体" w:hAnsi="宋体"/>
          <w:szCs w:val="21"/>
          <w:u w:val="none"/>
          <w:lang w:val="zh-CN"/>
        </w:rPr>
        <w:t>计划供应的例汤名录</w:t>
      </w:r>
    </w:p>
    <w:p>
      <w:pPr>
        <w:spacing w:line="360" w:lineRule="auto"/>
        <w:ind w:firstLine="441" w:firstLineChars="210"/>
        <w:rPr>
          <w:rFonts w:ascii="宋体" w:hAnsi="宋体" w:cs="宋体"/>
          <w:szCs w:val="21"/>
          <w:u w:val="none"/>
        </w:rPr>
      </w:pPr>
      <w:r>
        <w:rPr>
          <w:rFonts w:hint="eastAsia" w:ascii="宋体" w:hAnsi="宋体" w:cs="宋体"/>
          <w:szCs w:val="21"/>
          <w:u w:val="none"/>
        </w:rPr>
        <w:t>⑥计划供应的煲仔饭名录</w:t>
      </w:r>
    </w:p>
    <w:p>
      <w:pPr>
        <w:spacing w:line="360" w:lineRule="auto"/>
        <w:ind w:firstLine="441" w:firstLineChars="210"/>
        <w:rPr>
          <w:rFonts w:ascii="宋体" w:hAnsi="宋体" w:cs="宋体"/>
          <w:szCs w:val="21"/>
          <w:u w:val="none"/>
        </w:rPr>
      </w:pPr>
      <w:r>
        <w:rPr>
          <w:rFonts w:hint="eastAsia" w:ascii="宋体" w:hAnsi="宋体" w:cs="宋体"/>
          <w:szCs w:val="21"/>
          <w:u w:val="none"/>
        </w:rPr>
        <w:t>⑥计划供应的炖汤名录</w:t>
      </w:r>
    </w:p>
    <w:p>
      <w:pPr>
        <w:spacing w:line="360" w:lineRule="auto"/>
        <w:ind w:firstLine="441" w:firstLineChars="210"/>
        <w:rPr>
          <w:rFonts w:ascii="宋体" w:hAnsi="宋体" w:cs="宋体"/>
          <w:szCs w:val="21"/>
          <w:u w:val="none"/>
        </w:rPr>
      </w:pPr>
      <w:r>
        <w:rPr>
          <w:rFonts w:hint="eastAsia" w:ascii="宋体" w:hAnsi="宋体" w:cs="宋体"/>
          <w:szCs w:val="21"/>
          <w:u w:val="none"/>
        </w:rPr>
        <w:t>⑥计划供应的地方特色风味餐名录（如北方特色面食、水煮鱼/牛肉等）</w:t>
      </w:r>
    </w:p>
    <w:p>
      <w:pPr>
        <w:spacing w:line="360" w:lineRule="auto"/>
        <w:ind w:firstLine="441" w:firstLineChars="210"/>
        <w:rPr>
          <w:rFonts w:ascii="宋体" w:hAnsi="宋体"/>
          <w:szCs w:val="21"/>
          <w:u w:val="none"/>
        </w:rPr>
      </w:pPr>
      <w:r>
        <w:rPr>
          <w:rFonts w:hint="eastAsia" w:ascii="宋体" w:hAnsi="宋体"/>
          <w:szCs w:val="21"/>
          <w:u w:val="none"/>
          <w:lang w:val="zh-CN"/>
        </w:rPr>
        <w:t>⑥每天供应的菜式计划表（按照每周为一个周期进行计划）</w:t>
      </w:r>
      <w:r>
        <w:rPr>
          <w:rFonts w:hint="eastAsia" w:ascii="宋体" w:hAnsi="宋体"/>
          <w:szCs w:val="21"/>
          <w:u w:val="none"/>
        </w:rPr>
        <w:t xml:space="preserve">                                                                                                                                                                                                                                                                                                                                                                                                                  </w:t>
      </w:r>
    </w:p>
    <w:p>
      <w:pPr>
        <w:tabs>
          <w:tab w:val="left" w:pos="1050"/>
          <w:tab w:val="left" w:pos="1155"/>
        </w:tabs>
        <w:autoSpaceDE w:val="0"/>
        <w:autoSpaceDN w:val="0"/>
        <w:adjustRightInd w:val="0"/>
        <w:snapToGrid w:val="0"/>
        <w:spacing w:line="360" w:lineRule="auto"/>
        <w:ind w:firstLine="420"/>
        <w:textAlignment w:val="baseline"/>
        <w:rPr>
          <w:rFonts w:ascii="宋体" w:hAnsi="宋体"/>
          <w:b/>
          <w:bCs/>
          <w:szCs w:val="21"/>
          <w:u w:val="none"/>
        </w:rPr>
      </w:pPr>
      <w:r>
        <w:rPr>
          <w:rFonts w:hint="eastAsia" w:ascii="宋体" w:hAnsi="宋体"/>
          <w:b/>
          <w:bCs/>
          <w:szCs w:val="21"/>
          <w:u w:val="none"/>
        </w:rPr>
        <w:t>（7）一楼风味餐厅（原则上</w:t>
      </w:r>
      <w:r>
        <w:rPr>
          <w:rFonts w:hint="eastAsia"/>
          <w:b/>
          <w:u w:val="none"/>
        </w:rPr>
        <w:t>同类型、同品种、同份量</w:t>
      </w:r>
      <w:r>
        <w:rPr>
          <w:rFonts w:hint="eastAsia" w:ascii="宋体" w:hAnsi="宋体"/>
          <w:b/>
          <w:bCs/>
          <w:szCs w:val="21"/>
          <w:u w:val="none"/>
        </w:rPr>
        <w:t xml:space="preserve">不得高于市场价） </w:t>
      </w:r>
    </w:p>
    <w:p>
      <w:pPr>
        <w:tabs>
          <w:tab w:val="left" w:pos="1050"/>
          <w:tab w:val="left" w:pos="1155"/>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风味套餐和小炒美食类售价不高于10-18元/份；</w:t>
      </w:r>
    </w:p>
    <w:p>
      <w:pPr>
        <w:tabs>
          <w:tab w:val="left" w:pos="1050"/>
          <w:tab w:val="left" w:pos="1155"/>
        </w:tabs>
        <w:autoSpaceDE w:val="0"/>
        <w:autoSpaceDN w:val="0"/>
        <w:adjustRightInd w:val="0"/>
        <w:snapToGrid w:val="0"/>
        <w:spacing w:line="360" w:lineRule="auto"/>
        <w:ind w:firstLine="408"/>
        <w:textAlignment w:val="baseline"/>
        <w:rPr>
          <w:rFonts w:ascii="宋体" w:hAnsi="宋体"/>
          <w:szCs w:val="21"/>
          <w:u w:val="none"/>
        </w:rPr>
      </w:pPr>
      <w:r>
        <w:rPr>
          <w:rFonts w:hint="eastAsia" w:ascii="宋体" w:hAnsi="宋体"/>
          <w:szCs w:val="21"/>
          <w:u w:val="none"/>
        </w:rPr>
        <w:t>炖汤类售价不高于10-15元/份；</w:t>
      </w:r>
    </w:p>
    <w:p>
      <w:pPr>
        <w:pStyle w:val="5"/>
        <w:spacing w:line="360" w:lineRule="auto"/>
        <w:ind w:firstLine="408"/>
        <w:rPr>
          <w:rFonts w:ascii="宋体" w:hAnsi="宋体"/>
          <w:kern w:val="2"/>
          <w:sz w:val="21"/>
          <w:szCs w:val="21"/>
          <w:u w:val="none"/>
        </w:rPr>
      </w:pPr>
      <w:r>
        <w:rPr>
          <w:rFonts w:hint="eastAsia" w:ascii="宋体" w:hAnsi="宋体"/>
          <w:kern w:val="2"/>
          <w:sz w:val="21"/>
          <w:szCs w:val="21"/>
          <w:u w:val="none"/>
        </w:rPr>
        <w:t>烧味类售价</w:t>
      </w:r>
      <w:r>
        <w:rPr>
          <w:rFonts w:hint="eastAsia" w:ascii="宋体" w:hAnsi="宋体"/>
          <w:sz w:val="21"/>
          <w:szCs w:val="21"/>
          <w:u w:val="none"/>
        </w:rPr>
        <w:t>不高于</w:t>
      </w:r>
      <w:r>
        <w:rPr>
          <w:rFonts w:hint="eastAsia" w:ascii="宋体" w:hAnsi="宋体"/>
          <w:kern w:val="2"/>
          <w:sz w:val="21"/>
          <w:szCs w:val="21"/>
          <w:u w:val="none"/>
        </w:rPr>
        <w:t>15-18元/份；</w:t>
      </w:r>
    </w:p>
    <w:p>
      <w:pPr>
        <w:pStyle w:val="5"/>
        <w:spacing w:line="360" w:lineRule="auto"/>
        <w:ind w:firstLine="408"/>
        <w:rPr>
          <w:rFonts w:ascii="宋体" w:hAnsi="宋体"/>
          <w:kern w:val="2"/>
          <w:sz w:val="21"/>
          <w:szCs w:val="21"/>
          <w:u w:val="none"/>
        </w:rPr>
      </w:pPr>
      <w:r>
        <w:rPr>
          <w:rFonts w:hint="eastAsia" w:ascii="宋体" w:hAnsi="宋体"/>
          <w:kern w:val="2"/>
          <w:sz w:val="21"/>
          <w:szCs w:val="21"/>
          <w:u w:val="none"/>
        </w:rPr>
        <w:t>煲仔饭类售价</w:t>
      </w:r>
      <w:r>
        <w:rPr>
          <w:rFonts w:hint="eastAsia" w:ascii="宋体" w:hAnsi="宋体"/>
          <w:sz w:val="21"/>
          <w:szCs w:val="21"/>
          <w:u w:val="none"/>
        </w:rPr>
        <w:t>不高于</w:t>
      </w:r>
      <w:r>
        <w:rPr>
          <w:rFonts w:hint="eastAsia" w:ascii="宋体" w:hAnsi="宋体"/>
          <w:kern w:val="2"/>
          <w:sz w:val="21"/>
          <w:szCs w:val="21"/>
          <w:u w:val="none"/>
        </w:rPr>
        <w:t>15-20元/份；</w:t>
      </w:r>
    </w:p>
    <w:p>
      <w:pPr>
        <w:tabs>
          <w:tab w:val="left" w:pos="1050"/>
          <w:tab w:val="left" w:pos="1155"/>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粥（除白粥）、汤粉、汤面、云吞类售价不高于6-15元/份；</w:t>
      </w:r>
    </w:p>
    <w:p>
      <w:pPr>
        <w:tabs>
          <w:tab w:val="left" w:pos="1050"/>
          <w:tab w:val="left" w:pos="1155"/>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甜品类售价不高于3元/份；</w:t>
      </w:r>
    </w:p>
    <w:p>
      <w:pPr>
        <w:tabs>
          <w:tab w:val="left" w:pos="1050"/>
          <w:tab w:val="left" w:pos="1155"/>
        </w:tabs>
        <w:autoSpaceDE w:val="0"/>
        <w:autoSpaceDN w:val="0"/>
        <w:adjustRightInd w:val="0"/>
        <w:snapToGrid w:val="0"/>
        <w:spacing w:line="360" w:lineRule="auto"/>
        <w:ind w:firstLine="408"/>
        <w:textAlignment w:val="baseline"/>
        <w:rPr>
          <w:rFonts w:ascii="宋体" w:hAnsi="宋体"/>
          <w:szCs w:val="21"/>
          <w:u w:val="none"/>
        </w:rPr>
      </w:pPr>
      <w:r>
        <w:rPr>
          <w:rFonts w:hint="eastAsia" w:ascii="宋体" w:hAnsi="宋体"/>
          <w:szCs w:val="21"/>
          <w:u w:val="none"/>
        </w:rPr>
        <w:t>东北大饼类售价不高于 4-6 元/份；</w:t>
      </w:r>
    </w:p>
    <w:p>
      <w:pPr>
        <w:pStyle w:val="5"/>
        <w:spacing w:line="360" w:lineRule="auto"/>
        <w:ind w:firstLine="408"/>
        <w:rPr>
          <w:rFonts w:ascii="宋体" w:hAnsi="宋体"/>
          <w:kern w:val="2"/>
          <w:sz w:val="21"/>
          <w:szCs w:val="21"/>
          <w:u w:val="none"/>
        </w:rPr>
      </w:pPr>
      <w:r>
        <w:rPr>
          <w:rFonts w:hint="eastAsia" w:ascii="宋体" w:hAnsi="宋体"/>
          <w:kern w:val="2"/>
          <w:sz w:val="21"/>
          <w:szCs w:val="21"/>
          <w:u w:val="none"/>
        </w:rPr>
        <w:t>东北饺子类售价</w:t>
      </w:r>
      <w:r>
        <w:rPr>
          <w:rFonts w:hint="eastAsia" w:ascii="宋体" w:hAnsi="宋体"/>
          <w:sz w:val="21"/>
          <w:szCs w:val="21"/>
          <w:u w:val="none"/>
        </w:rPr>
        <w:t>不高于</w:t>
      </w:r>
      <w:r>
        <w:rPr>
          <w:rFonts w:hint="eastAsia" w:ascii="宋体" w:hAnsi="宋体"/>
          <w:kern w:val="2"/>
          <w:sz w:val="21"/>
          <w:szCs w:val="21"/>
          <w:u w:val="none"/>
        </w:rPr>
        <w:t>13-16元/份；</w:t>
      </w:r>
    </w:p>
    <w:p>
      <w:pPr>
        <w:tabs>
          <w:tab w:val="left" w:pos="1050"/>
          <w:tab w:val="left" w:pos="1155"/>
        </w:tabs>
        <w:autoSpaceDE w:val="0"/>
        <w:autoSpaceDN w:val="0"/>
        <w:adjustRightInd w:val="0"/>
        <w:snapToGrid w:val="0"/>
        <w:spacing w:line="360" w:lineRule="auto"/>
        <w:ind w:firstLine="408"/>
        <w:textAlignment w:val="baseline"/>
        <w:rPr>
          <w:rFonts w:ascii="宋体" w:hAnsi="宋体"/>
          <w:szCs w:val="21"/>
          <w:u w:val="none"/>
        </w:rPr>
      </w:pPr>
      <w:r>
        <w:rPr>
          <w:rFonts w:hint="eastAsia" w:ascii="宋体" w:hAnsi="宋体"/>
          <w:szCs w:val="21"/>
          <w:u w:val="none"/>
        </w:rPr>
        <w:t>油炸类售价不高于 3元/份；</w:t>
      </w:r>
    </w:p>
    <w:p>
      <w:pPr>
        <w:pStyle w:val="5"/>
        <w:spacing w:line="360" w:lineRule="auto"/>
        <w:ind w:firstLine="408"/>
        <w:rPr>
          <w:rFonts w:ascii="宋体" w:hAnsi="宋体"/>
          <w:kern w:val="2"/>
          <w:sz w:val="21"/>
          <w:szCs w:val="21"/>
          <w:u w:val="none"/>
        </w:rPr>
      </w:pPr>
      <w:r>
        <w:rPr>
          <w:rFonts w:hint="eastAsia" w:ascii="宋体" w:hAnsi="宋体"/>
          <w:kern w:val="2"/>
          <w:sz w:val="21"/>
          <w:szCs w:val="21"/>
          <w:u w:val="none"/>
        </w:rPr>
        <w:t>素菜类售价不高于 2 元/份；</w:t>
      </w:r>
    </w:p>
    <w:p>
      <w:pPr>
        <w:tabs>
          <w:tab w:val="left" w:pos="1050"/>
          <w:tab w:val="left" w:pos="1155"/>
        </w:tabs>
        <w:autoSpaceDE w:val="0"/>
        <w:autoSpaceDN w:val="0"/>
        <w:adjustRightInd w:val="0"/>
        <w:snapToGrid w:val="0"/>
        <w:spacing w:line="360" w:lineRule="auto"/>
        <w:ind w:firstLine="408"/>
        <w:textAlignment w:val="baseline"/>
        <w:rPr>
          <w:rFonts w:ascii="宋体" w:hAnsi="宋体"/>
          <w:szCs w:val="21"/>
          <w:u w:val="none"/>
        </w:rPr>
      </w:pPr>
      <w:r>
        <w:rPr>
          <w:rFonts w:hint="eastAsia" w:ascii="宋体" w:hAnsi="宋体"/>
          <w:szCs w:val="21"/>
          <w:u w:val="none"/>
        </w:rPr>
        <w:t>糕点类售价不高于 3 元/份；</w:t>
      </w:r>
    </w:p>
    <w:p>
      <w:pPr>
        <w:pStyle w:val="5"/>
        <w:spacing w:line="360" w:lineRule="auto"/>
        <w:ind w:firstLine="408"/>
        <w:rPr>
          <w:rFonts w:ascii="宋体" w:hAnsi="宋体"/>
          <w:kern w:val="2"/>
          <w:sz w:val="21"/>
          <w:szCs w:val="21"/>
          <w:u w:val="none"/>
        </w:rPr>
      </w:pPr>
      <w:r>
        <w:rPr>
          <w:rFonts w:hint="eastAsia" w:ascii="宋体" w:hAnsi="宋体"/>
          <w:kern w:val="2"/>
          <w:sz w:val="21"/>
          <w:szCs w:val="21"/>
          <w:u w:val="none"/>
        </w:rPr>
        <w:t>包子、馒头类售价不高于 2 元/份；</w:t>
      </w:r>
    </w:p>
    <w:p>
      <w:pPr>
        <w:tabs>
          <w:tab w:val="left" w:pos="1050"/>
          <w:tab w:val="left" w:pos="1155"/>
        </w:tabs>
        <w:autoSpaceDE w:val="0"/>
        <w:autoSpaceDN w:val="0"/>
        <w:adjustRightInd w:val="0"/>
        <w:snapToGrid w:val="0"/>
        <w:spacing w:line="360" w:lineRule="auto"/>
        <w:ind w:firstLine="420"/>
        <w:textAlignment w:val="baseline"/>
        <w:rPr>
          <w:rFonts w:ascii="宋体" w:hAnsi="宋体"/>
          <w:szCs w:val="21"/>
          <w:u w:val="none"/>
        </w:rPr>
      </w:pPr>
      <w:r>
        <w:rPr>
          <w:rFonts w:hint="eastAsia" w:ascii="宋体" w:hAnsi="宋体"/>
          <w:szCs w:val="21"/>
          <w:u w:val="none"/>
        </w:rPr>
        <w:t>豆浆、白粥售价不高于 1.5 元/份；</w:t>
      </w:r>
    </w:p>
    <w:p>
      <w:pPr>
        <w:tabs>
          <w:tab w:val="left" w:pos="1050"/>
          <w:tab w:val="left" w:pos="1155"/>
        </w:tabs>
        <w:autoSpaceDE w:val="0"/>
        <w:autoSpaceDN w:val="0"/>
        <w:adjustRightInd w:val="0"/>
        <w:snapToGrid w:val="0"/>
        <w:spacing w:line="360" w:lineRule="auto"/>
        <w:ind w:firstLine="420"/>
        <w:textAlignment w:val="baseline"/>
        <w:rPr>
          <w:rFonts w:ascii="宋体" w:hAnsi="宋体"/>
          <w:szCs w:val="21"/>
          <w:highlight w:val="none"/>
          <w:u w:val="none"/>
        </w:rPr>
      </w:pPr>
      <w:r>
        <w:rPr>
          <w:rFonts w:hint="eastAsia" w:ascii="宋体" w:hAnsi="宋体"/>
          <w:szCs w:val="21"/>
          <w:highlight w:val="none"/>
          <w:u w:val="none"/>
        </w:rPr>
        <w:t>米饭：售价不高于 0.5 元/份，</w:t>
      </w:r>
      <w:r>
        <w:rPr>
          <w:rFonts w:hint="eastAsia" w:hAnsi="宋体"/>
          <w:szCs w:val="21"/>
          <w:highlight w:val="none"/>
          <w:u w:val="none"/>
        </w:rPr>
        <w:t>可无限随意</w:t>
      </w:r>
      <w:r>
        <w:rPr>
          <w:rFonts w:hint="eastAsia" w:hAnsi="宋体"/>
          <w:szCs w:val="21"/>
          <w:highlight w:val="none"/>
          <w:u w:val="none"/>
          <w:lang w:val="zh-CN"/>
        </w:rPr>
        <w:t>添加</w:t>
      </w:r>
      <w:r>
        <w:rPr>
          <w:rFonts w:hint="eastAsia" w:ascii="宋体" w:hAnsi="宋体"/>
          <w:szCs w:val="21"/>
          <w:highlight w:val="none"/>
          <w:u w:val="none"/>
        </w:rPr>
        <w:t>。</w:t>
      </w:r>
    </w:p>
    <w:p>
      <w:pPr>
        <w:tabs>
          <w:tab w:val="left" w:pos="1050"/>
          <w:tab w:val="left" w:pos="1155"/>
        </w:tabs>
        <w:autoSpaceDE w:val="0"/>
        <w:autoSpaceDN w:val="0"/>
        <w:adjustRightInd w:val="0"/>
        <w:snapToGrid w:val="0"/>
        <w:spacing w:line="360" w:lineRule="auto"/>
        <w:ind w:firstLine="420"/>
        <w:textAlignment w:val="baseline"/>
        <w:rPr>
          <w:u w:val="none"/>
          <w:lang w:val="zh-CN"/>
        </w:rPr>
      </w:pPr>
      <w:r>
        <w:rPr>
          <w:rFonts w:hint="eastAsia" w:ascii="宋体" w:hAnsi="宋体"/>
          <w:szCs w:val="21"/>
          <w:u w:val="none"/>
          <w:lang w:val="zh-CN"/>
        </w:rPr>
        <w:t>打包送餐额外加收</w:t>
      </w:r>
      <w:r>
        <w:rPr>
          <w:rFonts w:hint="eastAsia" w:ascii="宋体" w:hAnsi="宋体"/>
          <w:szCs w:val="21"/>
          <w:u w:val="none"/>
        </w:rPr>
        <w:t>打包费不得高于</w:t>
      </w:r>
      <w:r>
        <w:rPr>
          <w:rFonts w:hint="eastAsia" w:ascii="宋体" w:hAnsi="宋体"/>
          <w:szCs w:val="21"/>
          <w:u w:val="none"/>
          <w:lang w:val="zh-CN"/>
        </w:rPr>
        <w:t>1元</w:t>
      </w:r>
      <w:r>
        <w:rPr>
          <w:rFonts w:hint="eastAsia" w:ascii="宋体" w:hAnsi="宋体"/>
          <w:szCs w:val="21"/>
          <w:u w:val="none"/>
        </w:rPr>
        <w:t>（</w:t>
      </w:r>
      <w:r>
        <w:rPr>
          <w:rFonts w:hint="eastAsia" w:ascii="宋体" w:hAnsi="宋体" w:cs="宋体"/>
          <w:szCs w:val="21"/>
          <w:u w:val="none"/>
        </w:rPr>
        <w:t>特殊科室如ICU、手术室、产房等免打包费）。</w:t>
      </w:r>
    </w:p>
    <w:p>
      <w:pPr>
        <w:numPr>
          <w:ilvl w:val="0"/>
          <w:numId w:val="9"/>
        </w:numPr>
        <w:spacing w:line="360" w:lineRule="auto"/>
        <w:ind w:firstLine="210" w:firstLineChars="100"/>
        <w:rPr>
          <w:rFonts w:ascii="宋体" w:hAnsi="宋体" w:cs="宋体"/>
          <w:szCs w:val="21"/>
          <w:u w:val="none"/>
        </w:rPr>
      </w:pPr>
      <w:r>
        <w:rPr>
          <w:rFonts w:hint="eastAsia" w:ascii="宋体" w:hAnsi="宋体" w:cs="宋体"/>
          <w:szCs w:val="21"/>
          <w:u w:val="none"/>
        </w:rPr>
        <w:t>为产妇、患者及家属提供的餐饮纯利润不得超过10%，供应给产妇、患者及家属的食品价格不得高于市场价（与中山市内医院食堂的价格进行比较）。具体价格可根据市场的价格浮动，由中标人提出书面申请，经双方核定确认后方可浮动，中标人不得私自调整价格。中标人应配合和接受采购人主管部门有权检查和监督中标人的进货价格、成本、会计账单等台帐资料的监督和管理。</w:t>
      </w:r>
    </w:p>
    <w:p>
      <w:pPr>
        <w:pStyle w:val="5"/>
        <w:spacing w:line="360" w:lineRule="auto"/>
        <w:ind w:firstLine="210" w:firstLineChars="100"/>
        <w:rPr>
          <w:rFonts w:ascii="宋体" w:hAnsi="宋体" w:cs="宋体"/>
          <w:kern w:val="2"/>
          <w:sz w:val="21"/>
          <w:szCs w:val="21"/>
          <w:u w:val="none"/>
        </w:rPr>
      </w:pPr>
      <w:r>
        <w:rPr>
          <w:rFonts w:hint="eastAsia" w:ascii="宋体" w:hAnsi="宋体" w:cs="宋体"/>
          <w:kern w:val="2"/>
          <w:sz w:val="21"/>
          <w:szCs w:val="21"/>
          <w:u w:val="none"/>
          <w:lang w:val="zh-CN"/>
        </w:rPr>
        <w:t>（</w:t>
      </w:r>
      <w:r>
        <w:rPr>
          <w:rFonts w:hint="eastAsia" w:ascii="宋体" w:hAnsi="宋体" w:cs="宋体"/>
          <w:kern w:val="2"/>
          <w:sz w:val="21"/>
          <w:szCs w:val="21"/>
          <w:u w:val="none"/>
        </w:rPr>
        <w:t>9</w:t>
      </w:r>
      <w:r>
        <w:rPr>
          <w:rFonts w:hint="eastAsia" w:ascii="宋体" w:hAnsi="宋体" w:cs="宋体"/>
          <w:kern w:val="2"/>
          <w:sz w:val="21"/>
          <w:szCs w:val="21"/>
          <w:u w:val="none"/>
          <w:lang w:val="zh-CN"/>
        </w:rPr>
        <w:t>）中标人合理控制经营利润，每月须向招标人提供营业报表，以便采购人</w:t>
      </w:r>
      <w:r>
        <w:rPr>
          <w:rFonts w:hint="eastAsia" w:ascii="宋体" w:hAnsi="宋体" w:cs="宋体"/>
          <w:kern w:val="2"/>
          <w:sz w:val="21"/>
          <w:szCs w:val="21"/>
          <w:u w:val="none"/>
        </w:rPr>
        <w:t>主管部门</w:t>
      </w:r>
      <w:r>
        <w:rPr>
          <w:rFonts w:hint="eastAsia" w:ascii="宋体" w:hAnsi="宋体" w:cs="宋体"/>
          <w:kern w:val="2"/>
          <w:sz w:val="21"/>
          <w:szCs w:val="21"/>
          <w:u w:val="none"/>
          <w:lang w:val="zh-CN"/>
        </w:rPr>
        <w:t>审核是否按照合同条款执行。如发现有偷水、偷电、</w:t>
      </w:r>
      <w:r>
        <w:rPr>
          <w:rFonts w:hint="eastAsia" w:ascii="宋体" w:hAnsi="宋体" w:cs="宋体"/>
          <w:kern w:val="2"/>
          <w:sz w:val="21"/>
          <w:szCs w:val="21"/>
          <w:u w:val="none"/>
        </w:rPr>
        <w:t>偷汽等</w:t>
      </w:r>
      <w:r>
        <w:rPr>
          <w:rFonts w:hint="eastAsia" w:ascii="宋体" w:hAnsi="宋体" w:cs="宋体"/>
          <w:kern w:val="2"/>
          <w:sz w:val="21"/>
          <w:szCs w:val="21"/>
          <w:u w:val="none"/>
          <w:lang w:val="zh-CN"/>
        </w:rPr>
        <w:t>行为采购人有权按当月</w:t>
      </w:r>
      <w:r>
        <w:rPr>
          <w:rFonts w:hint="eastAsia" w:ascii="宋体" w:hAnsi="宋体" w:cs="宋体"/>
          <w:kern w:val="2"/>
          <w:sz w:val="21"/>
          <w:szCs w:val="21"/>
          <w:u w:val="none"/>
        </w:rPr>
        <w:t>应付</w:t>
      </w:r>
      <w:r>
        <w:rPr>
          <w:rFonts w:hint="eastAsia" w:ascii="宋体" w:hAnsi="宋体" w:cs="宋体"/>
          <w:kern w:val="2"/>
          <w:sz w:val="21"/>
          <w:szCs w:val="21"/>
          <w:u w:val="none"/>
          <w:lang w:val="zh-CN"/>
        </w:rPr>
        <w:t>费的10倍扣罚。</w:t>
      </w:r>
    </w:p>
    <w:p>
      <w:pPr>
        <w:spacing w:line="360" w:lineRule="auto"/>
        <w:ind w:firstLine="420" w:firstLineChars="200"/>
        <w:rPr>
          <w:rFonts w:ascii="宋体" w:hAnsi="宋体" w:cs="宋体"/>
          <w:szCs w:val="21"/>
          <w:u w:val="none"/>
        </w:rPr>
      </w:pPr>
      <w:r>
        <w:rPr>
          <w:rFonts w:hint="eastAsia" w:ascii="宋体" w:hAnsi="宋体" w:cs="宋体"/>
          <w:szCs w:val="21"/>
          <w:u w:val="none"/>
        </w:rPr>
        <w:t>6、消费结算方式：医院的员工（含实习生、进修生、医院内其它工作人员）就餐时以个人饭卡或信息代码进行结算的方式结算，二楼职工就餐区不得收取现金。医院的员工（含实习生、进修生、医院内其它工作人员）在一楼就餐可享受9折优惠，包餐费用以签单形式支付，患者、家属及外来人员就餐以现金、微信等方式结算。采购人需要支付的费用，当月的费用在下一个月下旬凭发票支付。</w:t>
      </w:r>
    </w:p>
    <w:p>
      <w:pPr>
        <w:spacing w:line="360" w:lineRule="auto"/>
        <w:ind w:firstLine="420" w:firstLineChars="200"/>
        <w:rPr>
          <w:rFonts w:ascii="宋体" w:hAnsi="宋体" w:cs="宋体"/>
          <w:szCs w:val="21"/>
          <w:highlight w:val="none"/>
          <w:u w:val="none"/>
        </w:rPr>
      </w:pPr>
      <w:r>
        <w:rPr>
          <w:rFonts w:hint="eastAsia" w:ascii="宋体" w:hAnsi="宋体" w:cs="宋体"/>
          <w:szCs w:val="21"/>
          <w:u w:val="none"/>
        </w:rPr>
        <w:t>7、送餐服务：应为患者及家属、医院值班员工、特殊需求的员工和患者及家属、特殊科室（手术室、ICU、新生儿、产</w:t>
      </w:r>
      <w:r>
        <w:rPr>
          <w:rFonts w:hint="eastAsia" w:ascii="宋体" w:hAnsi="宋体" w:cs="宋体"/>
          <w:szCs w:val="21"/>
          <w:highlight w:val="none"/>
          <w:u w:val="none"/>
        </w:rPr>
        <w:t>房、介入室、胃肠镜室等）提供电话/微信订餐、上门订餐、APP订餐等多种方式，并提供送餐上门服务（上述特殊科室不另行收取配送费）及各类应急供餐服务。有专人负责订餐工作，一日三餐上门订餐服务需在规定时间内由专人到病区或科室。</w:t>
      </w:r>
    </w:p>
    <w:p>
      <w:pPr>
        <w:spacing w:line="360" w:lineRule="auto"/>
        <w:ind w:firstLine="420" w:firstLineChars="200"/>
        <w:rPr>
          <w:rFonts w:ascii="宋体" w:hAnsi="宋体" w:cs="宋体"/>
          <w:szCs w:val="21"/>
          <w:u w:val="none"/>
        </w:rPr>
      </w:pPr>
      <w:r>
        <w:rPr>
          <w:rFonts w:hint="eastAsia" w:ascii="宋体" w:hAnsi="宋体" w:cs="宋体"/>
          <w:szCs w:val="21"/>
          <w:u w:val="none"/>
        </w:rPr>
        <w:t>8、中标人应保证一日三餐正点、足量（每个品种应设定标准份量）、优质、新鲜、品种多样、价格合理，能适应不同口味的职工和患者及家属就餐。中标人供应的食物应能满足每天的用餐需求，在供餐时间不得出现食物供应不足的现象；严禁出售变质、变味以及剩饭菜。</w:t>
      </w:r>
    </w:p>
    <w:p>
      <w:pPr>
        <w:spacing w:line="360" w:lineRule="auto"/>
        <w:ind w:firstLine="420" w:firstLineChars="200"/>
        <w:rPr>
          <w:rFonts w:ascii="宋体" w:hAnsi="宋体" w:cs="宋体"/>
          <w:szCs w:val="21"/>
          <w:u w:val="none"/>
        </w:rPr>
      </w:pPr>
      <w:r>
        <w:rPr>
          <w:rFonts w:hint="eastAsia" w:ascii="宋体" w:hAnsi="宋体" w:cs="宋体"/>
          <w:szCs w:val="21"/>
          <w:u w:val="none"/>
        </w:rPr>
        <w:t>9、每逢特殊节假日（护士节、</w:t>
      </w:r>
      <w:r>
        <w:rPr>
          <w:rFonts w:hint="eastAsia" w:ascii="宋体" w:hAnsi="宋体"/>
          <w:szCs w:val="21"/>
          <w:u w:val="none"/>
          <w:lang w:val="zh-CN"/>
        </w:rPr>
        <w:t>医师节、</w:t>
      </w:r>
      <w:r>
        <w:rPr>
          <w:rFonts w:hint="eastAsia" w:ascii="宋体" w:hAnsi="宋体" w:cs="宋体"/>
          <w:szCs w:val="21"/>
          <w:u w:val="none"/>
        </w:rPr>
        <w:t>中秋节、端午节等）</w:t>
      </w:r>
      <w:r>
        <w:rPr>
          <w:rFonts w:hint="eastAsia" w:ascii="宋体" w:hAnsi="宋体"/>
          <w:szCs w:val="21"/>
          <w:u w:val="none"/>
          <w:lang w:val="zh-CN"/>
        </w:rPr>
        <w:t>对特定</w:t>
      </w:r>
      <w:r>
        <w:rPr>
          <w:rFonts w:hint="eastAsia" w:ascii="宋体" w:hAnsi="宋体"/>
          <w:szCs w:val="21"/>
          <w:highlight w:val="none"/>
          <w:u w:val="none"/>
          <w:lang w:val="zh-CN"/>
        </w:rPr>
        <w:t>人群</w:t>
      </w:r>
      <w:r>
        <w:rPr>
          <w:rFonts w:hint="eastAsia" w:ascii="宋体" w:hAnsi="宋体" w:cs="宋体"/>
          <w:szCs w:val="21"/>
          <w:highlight w:val="none"/>
          <w:u w:val="none"/>
        </w:rPr>
        <w:t>添加额外菜品（采购人不再另行支付费用），给全体职工们送上节日慰问及祝福。夏季应根据</w:t>
      </w:r>
      <w:r>
        <w:rPr>
          <w:rFonts w:hint="eastAsia" w:ascii="宋体" w:hAnsi="宋体" w:cs="宋体"/>
          <w:szCs w:val="21"/>
          <w:u w:val="none"/>
        </w:rPr>
        <w:t>医院的需要协助制作凉茶、绿豆沙等各类特色食品供应。</w:t>
      </w:r>
    </w:p>
    <w:p>
      <w:pPr>
        <w:pStyle w:val="5"/>
        <w:spacing w:line="360" w:lineRule="auto"/>
        <w:rPr>
          <w:u w:val="none"/>
        </w:rPr>
      </w:pPr>
    </w:p>
    <w:p>
      <w:pPr>
        <w:tabs>
          <w:tab w:val="left" w:pos="1050"/>
          <w:tab w:val="left" w:pos="1155"/>
        </w:tabs>
        <w:autoSpaceDE w:val="0"/>
        <w:autoSpaceDN w:val="0"/>
        <w:adjustRightInd w:val="0"/>
        <w:snapToGrid w:val="0"/>
        <w:spacing w:line="360" w:lineRule="auto"/>
        <w:textAlignment w:val="baseline"/>
        <w:rPr>
          <w:rFonts w:ascii="宋体" w:hAnsi="宋体" w:cs="SimSun-Identity-H"/>
          <w:b/>
          <w:bCs/>
          <w:kern w:val="0"/>
          <w:szCs w:val="21"/>
          <w:u w:val="none"/>
        </w:rPr>
      </w:pPr>
      <w:r>
        <w:rPr>
          <w:rFonts w:hint="eastAsia" w:ascii="宋体" w:hAnsi="宋体"/>
          <w:b/>
          <w:szCs w:val="21"/>
          <w:u w:val="none"/>
        </w:rPr>
        <w:t>三、饮食质量要求</w:t>
      </w:r>
    </w:p>
    <w:p>
      <w:pPr>
        <w:tabs>
          <w:tab w:val="left" w:pos="0"/>
          <w:tab w:val="left" w:pos="567"/>
          <w:tab w:val="left" w:pos="709"/>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w:t>
      </w:r>
      <w:r>
        <w:rPr>
          <w:rFonts w:hint="eastAsia" w:ascii="宋体" w:hAnsi="宋体"/>
          <w:kern w:val="28"/>
          <w:szCs w:val="21"/>
          <w:u w:val="none"/>
        </w:rPr>
        <w:t>▲</w:t>
      </w:r>
      <w:r>
        <w:rPr>
          <w:rFonts w:hint="eastAsia" w:ascii="宋体" w:hAnsi="宋体"/>
          <w:szCs w:val="21"/>
          <w:u w:val="none"/>
        </w:rPr>
        <w:t>1、所有的食品、副食品及配料等必须由正常渠道购进，确保食材安全、无农药、无添加、确保最佳产地、确保非转基因，中标人在采购粮油、肉蛋类、禽类、鱼类、蔬菜类、副食品类、调味类、食品添加剂等原料和物品必须符合《中华人民共和国食品安全法》、《中华人民共和国动物检疫法》等相关规定，符合卫生标准和营养要求。</w:t>
      </w:r>
    </w:p>
    <w:p>
      <w:pPr>
        <w:spacing w:line="360" w:lineRule="auto"/>
        <w:ind w:firstLine="420"/>
        <w:rPr>
          <w:rFonts w:ascii="宋体" w:hAnsi="宋体"/>
          <w:szCs w:val="21"/>
          <w:u w:val="none"/>
        </w:rPr>
      </w:pPr>
      <w:r>
        <w:rPr>
          <w:rFonts w:hint="eastAsia" w:ascii="宋体" w:hAnsi="宋体"/>
          <w:kern w:val="28"/>
          <w:szCs w:val="21"/>
          <w:u w:val="none"/>
        </w:rPr>
        <w:t>▲</w:t>
      </w:r>
      <w:r>
        <w:rPr>
          <w:rFonts w:hint="eastAsia" w:ascii="宋体" w:hAnsi="宋体"/>
          <w:szCs w:val="21"/>
          <w:u w:val="none"/>
        </w:rPr>
        <w:t>2、设</w:t>
      </w:r>
      <w:r>
        <w:rPr>
          <w:rFonts w:hint="eastAsia" w:ascii="宋体" w:hAnsi="宋体"/>
          <w:bCs/>
          <w:szCs w:val="21"/>
          <w:u w:val="none"/>
        </w:rPr>
        <w:t>有专职采购员,</w:t>
      </w:r>
      <w:r>
        <w:rPr>
          <w:rFonts w:hint="eastAsia" w:ascii="宋体" w:hAnsi="宋体"/>
          <w:szCs w:val="21"/>
          <w:u w:val="none"/>
        </w:rPr>
        <w:t>每次采购，严格做好进货验收和索票索证工作，建立采购台账（必须专人规范填写）、索证验收台账、投标人资质证明台账等，索取投标人有效的资质、检验检测合格证明等文件，包括但不仅限于《营业执照》、《食品卫生许可证》、《产品质量检验报告》、《出厂检验报告》、《动物检疫合格证明》、《肉品品质检验合格证》、《送货清单》、《购货凭据》；饮料、乳制品、调味品等食品每批次的检验合格证或检验单；蔬菜等散装农副食品及鱼类等鲜活产品检验合格证明；一次性餐具检验合格证；清洁剂检验合格证明等。随时接受采购人及上级部门的检查。</w:t>
      </w:r>
    </w:p>
    <w:p>
      <w:pPr>
        <w:spacing w:line="360" w:lineRule="auto"/>
        <w:ind w:firstLine="420"/>
        <w:rPr>
          <w:rFonts w:ascii="宋体" w:hAnsi="宋体"/>
          <w:szCs w:val="21"/>
          <w:u w:val="none"/>
        </w:rPr>
      </w:pPr>
      <w:r>
        <w:rPr>
          <w:rFonts w:hint="eastAsia" w:ascii="宋体" w:hAnsi="宋体"/>
          <w:szCs w:val="21"/>
          <w:u w:val="none"/>
        </w:rPr>
        <w:t xml:space="preserve"> 3、保证每天每餐的饮食质量、份量、菜式，做到食材新鲜、饭熟菜香，营养搭配科学合理，调配比例均匀，味道可口，保证营养。</w:t>
      </w:r>
    </w:p>
    <w:p>
      <w:pPr>
        <w:tabs>
          <w:tab w:val="left" w:pos="0"/>
          <w:tab w:val="left" w:pos="567"/>
          <w:tab w:val="left" w:pos="709"/>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w:t>
      </w:r>
      <w:r>
        <w:rPr>
          <w:rFonts w:hint="eastAsia" w:ascii="宋体" w:hAnsi="宋体"/>
          <w:kern w:val="28"/>
          <w:szCs w:val="21"/>
          <w:u w:val="none"/>
        </w:rPr>
        <w:t>▲</w:t>
      </w:r>
      <w:r>
        <w:rPr>
          <w:rFonts w:hint="eastAsia" w:ascii="宋体" w:hAnsi="宋体"/>
          <w:szCs w:val="21"/>
          <w:u w:val="none"/>
        </w:rPr>
        <w:t xml:space="preserve"> 4、设专门人员负责留样，每餐食品按相关规定的份量、时间、保存条件等做好留样工作。至少保存48小时，留样份量每样至少100克，在5℃以下冷藏专柜专放并按要求做好食品留样管理工作等，具体根据相关规定实施。</w:t>
      </w:r>
    </w:p>
    <w:p>
      <w:pPr>
        <w:tabs>
          <w:tab w:val="left" w:pos="0"/>
          <w:tab w:val="left" w:pos="567"/>
          <w:tab w:val="left" w:pos="709"/>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5、从食品原材料入手，建立食品安全追溯体系。所有肉类、蔬菜类、粮油类等由具备供应资格、信誉良好的投标人提供可追溯食品，不能采用散装原料，实行集中统一采购或分大类集中采购，采用无公害食品。</w:t>
      </w:r>
      <w:r>
        <w:rPr>
          <w:rFonts w:hint="eastAsia" w:ascii="宋体" w:hAnsi="宋体" w:cs="宋体"/>
          <w:szCs w:val="21"/>
          <w:u w:val="none"/>
        </w:rPr>
        <w:t>中标人应加入“中山市肉类蔬菜流通追溯体系”，并要确保食品原材料进货渠道正规，供应商证件齐全。</w:t>
      </w:r>
    </w:p>
    <w:p>
      <w:pPr>
        <w:tabs>
          <w:tab w:val="left" w:pos="0"/>
          <w:tab w:val="left" w:pos="567"/>
          <w:tab w:val="left" w:pos="709"/>
        </w:tabs>
        <w:autoSpaceDE w:val="0"/>
        <w:autoSpaceDN w:val="0"/>
        <w:adjustRightInd w:val="0"/>
        <w:snapToGrid w:val="0"/>
        <w:spacing w:line="360" w:lineRule="auto"/>
        <w:ind w:firstLine="432"/>
        <w:textAlignment w:val="baseline"/>
        <w:rPr>
          <w:rFonts w:ascii="宋体" w:hAnsi="宋体"/>
          <w:szCs w:val="21"/>
          <w:u w:val="none"/>
        </w:rPr>
      </w:pPr>
      <w:r>
        <w:rPr>
          <w:rFonts w:hint="eastAsia" w:ascii="宋体" w:hAnsi="宋体"/>
          <w:szCs w:val="21"/>
          <w:u w:val="none"/>
        </w:rPr>
        <w:t>6、所有食品投标人须经采购人审核同意，并接受采购人监管，对服务、供货质量等不能达到采购人要求的投标人，采购人有权提出更换，中标人必须配合执行。</w:t>
      </w:r>
    </w:p>
    <w:p>
      <w:pPr>
        <w:tabs>
          <w:tab w:val="left" w:pos="0"/>
          <w:tab w:val="left" w:pos="567"/>
          <w:tab w:val="left" w:pos="709"/>
        </w:tabs>
        <w:autoSpaceDE w:val="0"/>
        <w:autoSpaceDN w:val="0"/>
        <w:adjustRightInd w:val="0"/>
        <w:snapToGrid w:val="0"/>
        <w:spacing w:line="360" w:lineRule="auto"/>
        <w:textAlignment w:val="baseline"/>
        <w:rPr>
          <w:rFonts w:ascii="宋体" w:hAnsi="宋体"/>
          <w:szCs w:val="21"/>
          <w:u w:val="none"/>
        </w:rPr>
      </w:pPr>
      <w:r>
        <w:rPr>
          <w:rFonts w:hint="eastAsia" w:ascii="宋体" w:hAnsi="宋体"/>
          <w:szCs w:val="21"/>
          <w:u w:val="none"/>
        </w:rPr>
        <w:t xml:space="preserve">    7、设置食品安全信息公示栏，公示食品安全信息，员工健康信息（健康证等）、经营主体责任人、监管部门责任人及电话、微信服务综合满意度调查或意见箱等，接受员工监督。</w:t>
      </w:r>
    </w:p>
    <w:p>
      <w:pPr>
        <w:tabs>
          <w:tab w:val="left" w:pos="0"/>
          <w:tab w:val="left" w:pos="567"/>
          <w:tab w:val="left" w:pos="709"/>
        </w:tabs>
        <w:autoSpaceDE w:val="0"/>
        <w:autoSpaceDN w:val="0"/>
        <w:adjustRightInd w:val="0"/>
        <w:snapToGrid w:val="0"/>
        <w:spacing w:line="360" w:lineRule="auto"/>
        <w:ind w:firstLine="432"/>
        <w:textAlignment w:val="baseline"/>
        <w:rPr>
          <w:rFonts w:ascii="宋体" w:hAnsi="宋体"/>
          <w:szCs w:val="21"/>
          <w:u w:val="none"/>
        </w:rPr>
      </w:pPr>
      <w:r>
        <w:rPr>
          <w:rFonts w:hint="eastAsia" w:ascii="宋体" w:hAnsi="宋体"/>
          <w:szCs w:val="21"/>
          <w:u w:val="none"/>
        </w:rPr>
        <w:t xml:space="preserve">8、采购人有权指定食品品牌、质量，中标人须无条件配合，部分重点食品采购要求如下： </w:t>
      </w:r>
    </w:p>
    <w:p>
      <w:pPr>
        <w:tabs>
          <w:tab w:val="left" w:pos="0"/>
          <w:tab w:val="left" w:pos="567"/>
          <w:tab w:val="left" w:pos="709"/>
        </w:tabs>
        <w:autoSpaceDE w:val="0"/>
        <w:autoSpaceDN w:val="0"/>
        <w:adjustRightInd w:val="0"/>
        <w:snapToGrid w:val="0"/>
        <w:spacing w:line="360" w:lineRule="auto"/>
        <w:ind w:firstLine="432"/>
        <w:textAlignment w:val="baseline"/>
        <w:rPr>
          <w:rFonts w:ascii="宋体" w:hAnsi="宋体"/>
          <w:szCs w:val="21"/>
          <w:u w:val="none"/>
        </w:rPr>
      </w:pPr>
      <w:r>
        <w:rPr>
          <w:rFonts w:hint="eastAsia" w:ascii="宋体" w:hAnsi="宋体"/>
          <w:szCs w:val="21"/>
          <w:u w:val="none"/>
        </w:rPr>
        <w:t>8.1、大米、面粉质量标准：</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w:t>
      </w:r>
      <w:r>
        <w:rPr>
          <w:rFonts w:ascii="宋体" w:hAnsi="宋体"/>
          <w:szCs w:val="21"/>
          <w:u w:val="none"/>
        </w:rPr>
        <w:t>1</w:t>
      </w:r>
      <w:r>
        <w:rPr>
          <w:rFonts w:hint="eastAsia" w:ascii="宋体" w:hAnsi="宋体"/>
          <w:szCs w:val="21"/>
          <w:u w:val="none"/>
        </w:rPr>
        <w:t>）不准再采购有“</w:t>
      </w:r>
      <w:r>
        <w:rPr>
          <w:rFonts w:ascii="宋体" w:hAnsi="宋体"/>
          <w:szCs w:val="21"/>
          <w:u w:val="none"/>
        </w:rPr>
        <w:t>QS</w:t>
      </w:r>
      <w:r>
        <w:rPr>
          <w:rFonts w:hint="eastAsia" w:ascii="宋体" w:hAnsi="宋体"/>
          <w:szCs w:val="21"/>
          <w:u w:val="none"/>
        </w:rPr>
        <w:t>”标志，须采购具有新食品生产编号的产品。标明加工厂名称、品名、生产日期、保持期或保存期，供货时的剩余保质期不少于三分之二，质量等级、产品标准号、产品合格证，质量符合大米国家标准与国家粮食卫生标准。</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w:t>
      </w:r>
      <w:r>
        <w:rPr>
          <w:rFonts w:ascii="宋体" w:hAnsi="宋体"/>
          <w:szCs w:val="21"/>
          <w:u w:val="none"/>
        </w:rPr>
        <w:t>2</w:t>
      </w:r>
      <w:r>
        <w:rPr>
          <w:rFonts w:hint="eastAsia" w:ascii="宋体" w:hAnsi="宋体"/>
          <w:szCs w:val="21"/>
          <w:u w:val="none"/>
        </w:rPr>
        <w:t>）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pPr>
        <w:tabs>
          <w:tab w:val="left" w:pos="945"/>
        </w:tabs>
        <w:adjustRightInd w:val="0"/>
        <w:snapToGrid w:val="0"/>
        <w:spacing w:line="360" w:lineRule="auto"/>
        <w:ind w:firstLine="480"/>
        <w:rPr>
          <w:rFonts w:ascii="宋体" w:hAnsi="宋体"/>
          <w:szCs w:val="21"/>
          <w:u w:val="none"/>
        </w:rPr>
      </w:pPr>
      <w:r>
        <w:rPr>
          <w:rFonts w:hint="eastAsia" w:ascii="宋体" w:hAnsi="宋体"/>
          <w:kern w:val="28"/>
          <w:szCs w:val="21"/>
          <w:u w:val="none"/>
        </w:rPr>
        <w:t>▲</w:t>
      </w:r>
      <w:r>
        <w:rPr>
          <w:rFonts w:hint="eastAsia" w:ascii="宋体" w:hAnsi="宋体"/>
          <w:szCs w:val="21"/>
          <w:u w:val="none"/>
        </w:rPr>
        <w:t>（3）粮食品牌参照标准：中粮、中储粮、益海嘉里集团等产品。</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 xml:space="preserve"> 8.2食用油、酱油：</w:t>
      </w:r>
    </w:p>
    <w:p>
      <w:pPr>
        <w:tabs>
          <w:tab w:val="left" w:pos="945"/>
        </w:tabs>
        <w:adjustRightInd w:val="0"/>
        <w:snapToGrid w:val="0"/>
        <w:spacing w:line="360" w:lineRule="auto"/>
        <w:ind w:firstLine="480"/>
        <w:rPr>
          <w:rFonts w:ascii="宋体" w:hAnsi="宋体"/>
          <w:strike/>
          <w:szCs w:val="21"/>
          <w:highlight w:val="yellow"/>
          <w:u w:val="none"/>
        </w:rPr>
      </w:pPr>
      <w:r>
        <w:rPr>
          <w:rFonts w:hint="eastAsia" w:ascii="宋体" w:hAnsi="宋体"/>
          <w:szCs w:val="21"/>
          <w:u w:val="none"/>
        </w:rPr>
        <w:t>（</w:t>
      </w:r>
      <w:r>
        <w:rPr>
          <w:rFonts w:ascii="宋体" w:hAnsi="宋体"/>
          <w:szCs w:val="21"/>
          <w:u w:val="none"/>
        </w:rPr>
        <w:t>1</w:t>
      </w:r>
      <w:r>
        <w:rPr>
          <w:rFonts w:hint="eastAsia" w:ascii="宋体" w:hAnsi="宋体"/>
          <w:szCs w:val="21"/>
          <w:u w:val="none"/>
        </w:rPr>
        <w:t>）不准再采购有“</w:t>
      </w:r>
      <w:r>
        <w:rPr>
          <w:rFonts w:ascii="宋体" w:hAnsi="宋体"/>
          <w:szCs w:val="21"/>
          <w:u w:val="none"/>
        </w:rPr>
        <w:t>QS</w:t>
      </w:r>
      <w:r>
        <w:rPr>
          <w:rFonts w:hint="eastAsia" w:ascii="宋体" w:hAnsi="宋体"/>
          <w:szCs w:val="21"/>
          <w:u w:val="none"/>
        </w:rPr>
        <w:t>”标志，须采购具有新食品生产编号的产品。外包装完好，标明品名、厂名、重量、生产日期、保质期或保存期、执行标准等，剩余保质期不少于三分二，具有产品合格证。</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 xml:space="preserve">（2）必须提供进货渠道及提供当地食品卫生监督部门抽样检测报告。 </w:t>
      </w:r>
    </w:p>
    <w:p>
      <w:pPr>
        <w:tabs>
          <w:tab w:val="left" w:pos="945"/>
        </w:tabs>
        <w:adjustRightInd w:val="0"/>
        <w:snapToGrid w:val="0"/>
        <w:spacing w:line="360" w:lineRule="auto"/>
        <w:ind w:firstLine="480"/>
        <w:rPr>
          <w:rFonts w:ascii="宋体" w:hAnsi="宋体"/>
          <w:szCs w:val="21"/>
          <w:u w:val="none"/>
        </w:rPr>
      </w:pPr>
      <w:r>
        <w:rPr>
          <w:rFonts w:hint="eastAsia" w:ascii="宋体" w:hAnsi="宋体"/>
          <w:kern w:val="28"/>
          <w:szCs w:val="21"/>
          <w:u w:val="none"/>
        </w:rPr>
        <w:t>▲</w:t>
      </w:r>
      <w:r>
        <w:rPr>
          <w:rFonts w:hint="eastAsia" w:ascii="宋体" w:hAnsi="宋体"/>
          <w:szCs w:val="21"/>
          <w:u w:val="none"/>
        </w:rPr>
        <w:t>（3）食油品牌参照标准：中粮、金龙鱼、鲁花等；调味类品牌参照标准：海天、李锦记、东古等。</w:t>
      </w:r>
    </w:p>
    <w:p>
      <w:pPr>
        <w:tabs>
          <w:tab w:val="left" w:pos="945"/>
        </w:tabs>
        <w:adjustRightInd w:val="0"/>
        <w:snapToGrid w:val="0"/>
        <w:spacing w:line="360" w:lineRule="auto"/>
        <w:ind w:firstLine="480"/>
        <w:rPr>
          <w:rFonts w:ascii="宋体" w:hAnsi="宋体"/>
          <w:szCs w:val="21"/>
          <w:u w:val="none"/>
        </w:rPr>
      </w:pPr>
      <w:r>
        <w:rPr>
          <w:rFonts w:hint="eastAsia" w:ascii="宋体" w:hAnsi="宋体"/>
          <w:kern w:val="28"/>
          <w:szCs w:val="21"/>
          <w:u w:val="none"/>
        </w:rPr>
        <w:t>▲</w:t>
      </w:r>
      <w:r>
        <w:rPr>
          <w:rFonts w:hint="eastAsia" w:ascii="宋体" w:hAnsi="宋体"/>
          <w:szCs w:val="21"/>
          <w:u w:val="none"/>
        </w:rPr>
        <w:t>8.3调味料：味精、鸡精、鸡粉等建议不用或尽量少用。</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8.4食盐：符合食品安全卫生标准及营养要求。</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8.5肉类：生鲜肉类经过屠宰卫生检疫</w:t>
      </w:r>
      <w:r>
        <w:rPr>
          <w:rFonts w:hint="eastAsia" w:ascii="宋体" w:hAnsi="宋体" w:cs="宋体"/>
          <w:szCs w:val="21"/>
          <w:u w:val="none"/>
        </w:rPr>
        <w:t>，符合国家食品部门的有关标准，肉类保证来源于正规肉联厂，供货时提交肉联厂的验收单及当批次有效的动物检疫合格证复印件（原件备查）和分割肉凭证，鲜肉确保每日新鲜、无异味</w:t>
      </w:r>
      <w:r>
        <w:rPr>
          <w:rFonts w:hint="eastAsia" w:ascii="宋体" w:hAnsi="宋体"/>
          <w:szCs w:val="21"/>
          <w:u w:val="none"/>
        </w:rPr>
        <w:t>及</w:t>
      </w:r>
      <w:r>
        <w:rPr>
          <w:rFonts w:hint="eastAsia" w:ascii="宋体" w:hAnsi="宋体" w:cs="宋体"/>
          <w:szCs w:val="21"/>
          <w:u w:val="none"/>
        </w:rPr>
        <w:t>变质</w:t>
      </w:r>
      <w:r>
        <w:rPr>
          <w:rFonts w:hint="eastAsia" w:ascii="宋体" w:hAnsi="宋体"/>
          <w:szCs w:val="21"/>
          <w:u w:val="none"/>
        </w:rPr>
        <w:t>。肉色根据种类的不同而呈现其特有的颜色，如猪肉鲜红色、牛羊肉深红色、鸡肉淡红色、鸭肉深红色等，且都有光泽、富有弹性，闻起来没有异味者（不得采购冷冻生肉僵尸肉）。肉制品包装完整，有完整标识，标明品名、内容物名称，重量或数量、食品添加物、制造厂商名称、地址、保存期限或保存条件、进品的还应加注进品商名称、地址等信息。保证鱼肉类每天新鲜购入及配送。</w:t>
      </w:r>
    </w:p>
    <w:p>
      <w:pPr>
        <w:tabs>
          <w:tab w:val="left" w:pos="945"/>
        </w:tabs>
        <w:adjustRightInd w:val="0"/>
        <w:snapToGrid w:val="0"/>
        <w:spacing w:line="360" w:lineRule="auto"/>
        <w:ind w:firstLine="480"/>
        <w:rPr>
          <w:rFonts w:ascii="宋体" w:hAnsi="宋体"/>
          <w:szCs w:val="21"/>
          <w:u w:val="none"/>
        </w:rPr>
      </w:pPr>
      <w:r>
        <w:rPr>
          <w:rFonts w:hint="eastAsia" w:ascii="宋体" w:hAnsi="宋体"/>
          <w:szCs w:val="21"/>
          <w:u w:val="none"/>
        </w:rPr>
        <w:t>8.6蔬菜：蔬菜形态饱满、色泽新鲜、无腐烂变质、无泥沙、无老梗、无老叶及无农药超标等情况。</w:t>
      </w:r>
    </w:p>
    <w:p>
      <w:pPr>
        <w:tabs>
          <w:tab w:val="left" w:pos="945"/>
        </w:tabs>
        <w:adjustRightInd w:val="0"/>
        <w:snapToGrid w:val="0"/>
        <w:spacing w:line="360" w:lineRule="auto"/>
        <w:ind w:firstLine="482"/>
        <w:rPr>
          <w:rFonts w:ascii="宋体" w:hAnsi="宋体"/>
          <w:szCs w:val="21"/>
          <w:u w:val="none"/>
        </w:rPr>
      </w:pPr>
      <w:r>
        <w:rPr>
          <w:rFonts w:hint="eastAsia" w:ascii="宋体" w:hAnsi="宋体"/>
          <w:szCs w:val="21"/>
          <w:u w:val="none"/>
        </w:rPr>
        <w:t>8.7干货：保持其固有的鲜美味道，有干货的本味。动物类、植物类、菌类、藻类，能从味觉上分辨新鲜及优品；干爽没有霉迹；色泽鲜明，没有虫蛀与杂质。</w:t>
      </w:r>
    </w:p>
    <w:p>
      <w:pPr>
        <w:tabs>
          <w:tab w:val="left" w:pos="945"/>
        </w:tabs>
        <w:adjustRightInd w:val="0"/>
        <w:snapToGrid w:val="0"/>
        <w:spacing w:line="360" w:lineRule="auto"/>
        <w:ind w:firstLine="482"/>
        <w:rPr>
          <w:rFonts w:ascii="宋体" w:hAnsi="宋体"/>
          <w:strike/>
          <w:szCs w:val="21"/>
          <w:highlight w:val="yellow"/>
          <w:u w:val="none"/>
        </w:rPr>
      </w:pPr>
      <w:r>
        <w:rPr>
          <w:rFonts w:hint="eastAsia" w:ascii="宋体" w:hAnsi="宋体"/>
          <w:szCs w:val="21"/>
          <w:u w:val="none"/>
        </w:rPr>
        <w:t>8.8</w:t>
      </w:r>
    </w:p>
    <w:p>
      <w:pPr>
        <w:adjustRightInd w:val="0"/>
        <w:snapToGrid w:val="0"/>
        <w:jc w:val="center"/>
        <w:rPr>
          <w:rFonts w:ascii="宋体" w:hAnsi="宋体" w:cs="宋体"/>
          <w:b/>
          <w:szCs w:val="21"/>
          <w:u w:val="none"/>
        </w:rPr>
      </w:pPr>
      <w:r>
        <w:rPr>
          <w:rFonts w:hint="eastAsia" w:ascii="宋体" w:hAnsi="宋体" w:cs="宋体"/>
          <w:b/>
          <w:szCs w:val="21"/>
          <w:u w:val="none"/>
        </w:rPr>
        <w:t>肉类：货物票证要求</w:t>
      </w:r>
    </w:p>
    <w:tbl>
      <w:tblPr>
        <w:tblStyle w:val="14"/>
        <w:tblW w:w="85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4"/>
        <w:gridCol w:w="3140"/>
        <w:gridCol w:w="4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blHeader/>
          <w:jc w:val="center"/>
        </w:trPr>
        <w:tc>
          <w:tcPr>
            <w:tcW w:w="904" w:type="dxa"/>
            <w:vAlign w:val="center"/>
          </w:tcPr>
          <w:p>
            <w:pPr>
              <w:tabs>
                <w:tab w:val="left" w:pos="2268"/>
              </w:tabs>
              <w:adjustRightInd w:val="0"/>
              <w:snapToGrid w:val="0"/>
              <w:jc w:val="center"/>
              <w:rPr>
                <w:rFonts w:ascii="宋体" w:hAnsi="宋体" w:cs="宋体"/>
                <w:b/>
                <w:szCs w:val="21"/>
                <w:u w:val="none"/>
              </w:rPr>
            </w:pPr>
            <w:r>
              <w:rPr>
                <w:rFonts w:hint="eastAsia" w:ascii="宋体" w:hAnsi="宋体" w:cs="宋体"/>
                <w:b/>
                <w:szCs w:val="21"/>
                <w:u w:val="none"/>
              </w:rPr>
              <w:t>货物类别</w:t>
            </w:r>
          </w:p>
        </w:tc>
        <w:tc>
          <w:tcPr>
            <w:tcW w:w="3140" w:type="dxa"/>
            <w:vAlign w:val="center"/>
          </w:tcPr>
          <w:p>
            <w:pPr>
              <w:tabs>
                <w:tab w:val="left" w:pos="2268"/>
              </w:tabs>
              <w:adjustRightInd w:val="0"/>
              <w:snapToGrid w:val="0"/>
              <w:jc w:val="center"/>
              <w:rPr>
                <w:rFonts w:ascii="宋体" w:hAnsi="宋体" w:cs="宋体"/>
                <w:b/>
                <w:szCs w:val="21"/>
                <w:u w:val="none"/>
              </w:rPr>
            </w:pPr>
            <w:r>
              <w:rPr>
                <w:rFonts w:hint="eastAsia" w:ascii="宋体" w:hAnsi="宋体" w:cs="宋体"/>
                <w:b/>
                <w:szCs w:val="21"/>
                <w:u w:val="none"/>
              </w:rPr>
              <w:t>产品票证名称</w:t>
            </w:r>
          </w:p>
        </w:tc>
        <w:tc>
          <w:tcPr>
            <w:tcW w:w="4462" w:type="dxa"/>
            <w:vAlign w:val="center"/>
          </w:tcPr>
          <w:p>
            <w:pPr>
              <w:tabs>
                <w:tab w:val="left" w:pos="2268"/>
              </w:tabs>
              <w:adjustRightInd w:val="0"/>
              <w:snapToGrid w:val="0"/>
              <w:jc w:val="center"/>
              <w:rPr>
                <w:rFonts w:ascii="宋体" w:hAnsi="宋体" w:cs="宋体"/>
                <w:b/>
                <w:szCs w:val="21"/>
                <w:u w:val="none"/>
              </w:rPr>
            </w:pPr>
            <w:r>
              <w:rPr>
                <w:rFonts w:hint="eastAsia" w:ascii="宋体" w:hAnsi="宋体" w:cs="宋体"/>
                <w:b/>
                <w:szCs w:val="21"/>
                <w:u w:val="none"/>
              </w:rPr>
              <w:t>验收索证要求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04" w:type="dxa"/>
            <w:vMerge w:val="restart"/>
            <w:vAlign w:val="center"/>
          </w:tcPr>
          <w:p>
            <w:pPr>
              <w:tabs>
                <w:tab w:val="left" w:pos="2268"/>
              </w:tabs>
              <w:adjustRightInd w:val="0"/>
              <w:snapToGrid w:val="0"/>
              <w:spacing w:line="260" w:lineRule="exact"/>
              <w:jc w:val="center"/>
              <w:rPr>
                <w:rFonts w:ascii="宋体" w:hAnsi="宋体" w:cs="宋体"/>
                <w:szCs w:val="21"/>
                <w:u w:val="none"/>
              </w:rPr>
            </w:pPr>
            <w:r>
              <w:rPr>
                <w:rFonts w:hint="eastAsia" w:ascii="宋体" w:hAnsi="宋体" w:cs="宋体"/>
                <w:szCs w:val="21"/>
                <w:u w:val="none"/>
              </w:rPr>
              <w:t>猪、牛肉类、家禽类</w:t>
            </w: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（1）《食品生产许可证》</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交货时提交所供应畜禽冻肉类和肉制品生产厂家的肉制品《食品生产许可证》。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04" w:type="dxa"/>
            <w:vMerge w:val="continue"/>
            <w:vAlign w:val="center"/>
          </w:tcPr>
          <w:p>
            <w:pPr>
              <w:tabs>
                <w:tab w:val="left" w:pos="2268"/>
              </w:tabs>
              <w:adjustRightInd w:val="0"/>
              <w:snapToGrid w:val="0"/>
              <w:spacing w:line="260" w:lineRule="exact"/>
              <w:ind w:firstLine="105" w:firstLineChars="50"/>
              <w:jc w:val="left"/>
              <w:rPr>
                <w:rFonts w:ascii="宋体" w:hAnsi="宋体" w:cs="宋体"/>
                <w:szCs w:val="21"/>
                <w:u w:val="none"/>
              </w:rPr>
            </w:pP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（2）《出入境动物产品检疫合格证》</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由政府动植物检疫部门出具，用于跨区销售检查。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vMerge w:val="continue"/>
            <w:vAlign w:val="center"/>
          </w:tcPr>
          <w:p>
            <w:pPr>
              <w:tabs>
                <w:tab w:val="left" w:pos="2268"/>
              </w:tabs>
              <w:adjustRightInd w:val="0"/>
              <w:snapToGrid w:val="0"/>
              <w:spacing w:line="260" w:lineRule="exact"/>
              <w:ind w:firstLine="105" w:firstLineChars="50"/>
              <w:jc w:val="left"/>
              <w:rPr>
                <w:rFonts w:ascii="宋体" w:hAnsi="宋体" w:cs="宋体"/>
                <w:szCs w:val="21"/>
                <w:u w:val="none"/>
              </w:rPr>
            </w:pP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（3）《产品合格证》</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交货时提供本批次产品的出厂（库）检验合格证明，随车同行。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904" w:type="dxa"/>
            <w:vMerge w:val="continue"/>
            <w:vAlign w:val="center"/>
          </w:tcPr>
          <w:p>
            <w:pPr>
              <w:tabs>
                <w:tab w:val="left" w:pos="2268"/>
              </w:tabs>
              <w:adjustRightInd w:val="0"/>
              <w:snapToGrid w:val="0"/>
              <w:spacing w:line="260" w:lineRule="exact"/>
              <w:ind w:firstLine="105" w:firstLineChars="50"/>
              <w:jc w:val="left"/>
              <w:rPr>
                <w:rFonts w:ascii="宋体" w:hAnsi="宋体" w:cs="宋体"/>
                <w:szCs w:val="21"/>
                <w:u w:val="none"/>
              </w:rPr>
            </w:pP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（4）《动物产品防疫合格证》</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当批次有效，原件备查。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4" w:type="dxa"/>
            <w:vMerge w:val="restart"/>
            <w:vAlign w:val="center"/>
          </w:tcPr>
          <w:p>
            <w:pPr>
              <w:tabs>
                <w:tab w:val="left" w:pos="2268"/>
              </w:tabs>
              <w:adjustRightInd w:val="0"/>
              <w:snapToGrid w:val="0"/>
              <w:spacing w:line="260" w:lineRule="exact"/>
              <w:ind w:firstLine="105" w:firstLineChars="50"/>
              <w:jc w:val="left"/>
              <w:rPr>
                <w:rFonts w:ascii="宋体" w:hAnsi="宋体" w:cs="宋体"/>
                <w:szCs w:val="21"/>
                <w:u w:val="none"/>
              </w:rPr>
            </w:pPr>
            <w:r>
              <w:rPr>
                <w:rFonts w:hint="eastAsia" w:ascii="宋体" w:hAnsi="宋体" w:cs="宋体"/>
                <w:szCs w:val="21"/>
                <w:u w:val="none"/>
              </w:rPr>
              <w:t>肉制品</w:t>
            </w: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（1）《卫生检疫报告》</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由政府疾控部门或卫生检验部门出具（半年内有效）。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4" w:type="dxa"/>
            <w:vMerge w:val="continue"/>
            <w:vAlign w:val="center"/>
          </w:tcPr>
          <w:p>
            <w:pPr>
              <w:tabs>
                <w:tab w:val="left" w:pos="2268"/>
              </w:tabs>
              <w:adjustRightInd w:val="0"/>
              <w:snapToGrid w:val="0"/>
              <w:spacing w:line="260" w:lineRule="exact"/>
              <w:ind w:firstLine="105" w:firstLineChars="50"/>
              <w:jc w:val="left"/>
              <w:rPr>
                <w:rFonts w:ascii="宋体" w:hAnsi="宋体" w:cs="宋体"/>
                <w:szCs w:val="21"/>
                <w:u w:val="none"/>
              </w:rPr>
            </w:pP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（2）《产品合格证》</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交货时提供本批次产品的出厂（库）检验合格证明，随车同行。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04" w:type="dxa"/>
            <w:vAlign w:val="center"/>
          </w:tcPr>
          <w:p>
            <w:pPr>
              <w:tabs>
                <w:tab w:val="left" w:pos="2268"/>
              </w:tabs>
              <w:adjustRightInd w:val="0"/>
              <w:snapToGrid w:val="0"/>
              <w:spacing w:line="260" w:lineRule="exact"/>
              <w:ind w:firstLine="105" w:firstLineChars="50"/>
              <w:jc w:val="left"/>
              <w:rPr>
                <w:rFonts w:ascii="宋体" w:hAnsi="宋体" w:cs="宋体"/>
                <w:szCs w:val="21"/>
                <w:u w:val="none"/>
              </w:rPr>
            </w:pPr>
            <w:r>
              <w:rPr>
                <w:rFonts w:hint="eastAsia" w:ascii="宋体" w:hAnsi="宋体" w:cs="宋体"/>
                <w:szCs w:val="21"/>
                <w:u w:val="none"/>
              </w:rPr>
              <w:t>水产品</w:t>
            </w:r>
          </w:p>
        </w:tc>
        <w:tc>
          <w:tcPr>
            <w:tcW w:w="3140"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贮存地的出入库检疫证明，水产品成型标准为个体单独冷冻成型。</w:t>
            </w:r>
          </w:p>
        </w:tc>
        <w:tc>
          <w:tcPr>
            <w:tcW w:w="4462" w:type="dxa"/>
            <w:vAlign w:val="center"/>
          </w:tcPr>
          <w:p>
            <w:pPr>
              <w:tabs>
                <w:tab w:val="left" w:pos="2268"/>
              </w:tabs>
              <w:adjustRightInd w:val="0"/>
              <w:snapToGrid w:val="0"/>
              <w:spacing w:line="260" w:lineRule="exact"/>
              <w:jc w:val="left"/>
              <w:rPr>
                <w:rFonts w:ascii="宋体" w:hAnsi="宋体" w:cs="宋体"/>
                <w:szCs w:val="21"/>
                <w:u w:val="none"/>
              </w:rPr>
            </w:pPr>
            <w:r>
              <w:rPr>
                <w:rFonts w:hint="eastAsia" w:ascii="宋体" w:hAnsi="宋体" w:cs="宋体"/>
                <w:szCs w:val="21"/>
                <w:u w:val="none"/>
              </w:rPr>
              <w:t>交货时提供本批次产品的出厂（库）检验合格证明。</w:t>
            </w:r>
          </w:p>
        </w:tc>
      </w:tr>
    </w:tbl>
    <w:p>
      <w:pPr>
        <w:tabs>
          <w:tab w:val="left" w:pos="2268"/>
        </w:tabs>
        <w:adjustRightInd w:val="0"/>
        <w:snapToGrid w:val="0"/>
        <w:ind w:left="3904"/>
        <w:jc w:val="left"/>
        <w:rPr>
          <w:rFonts w:ascii="宋体" w:hAnsi="宋体" w:cs="宋体"/>
          <w:b/>
          <w:kern w:val="0"/>
          <w:szCs w:val="21"/>
          <w:u w:val="none"/>
        </w:rPr>
      </w:pPr>
      <w:r>
        <w:rPr>
          <w:rFonts w:hint="eastAsia" w:ascii="宋体" w:hAnsi="宋体" w:cs="宋体"/>
          <w:b/>
          <w:kern w:val="0"/>
          <w:szCs w:val="21"/>
          <w:u w:val="none"/>
        </w:rPr>
        <w:t>蔬菜类检测标准</w:t>
      </w:r>
    </w:p>
    <w:tbl>
      <w:tblPr>
        <w:tblStyle w:val="14"/>
        <w:tblW w:w="8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3"/>
        <w:gridCol w:w="4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blHeader/>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b/>
                <w:bCs/>
                <w:szCs w:val="21"/>
                <w:u w:val="none"/>
              </w:rPr>
            </w:pPr>
            <w:r>
              <w:rPr>
                <w:rFonts w:hint="eastAsia" w:ascii="宋体" w:hAnsi="宋体" w:cs="宋体"/>
                <w:b/>
                <w:bCs/>
                <w:szCs w:val="21"/>
                <w:u w:val="none"/>
              </w:rPr>
              <w:t>项目</w:t>
            </w:r>
          </w:p>
        </w:tc>
        <w:tc>
          <w:tcPr>
            <w:tcW w:w="4147" w:type="dxa"/>
            <w:vAlign w:val="center"/>
          </w:tcPr>
          <w:p>
            <w:pPr>
              <w:tabs>
                <w:tab w:val="left" w:pos="2268"/>
              </w:tabs>
              <w:adjustRightInd w:val="0"/>
              <w:snapToGrid w:val="0"/>
              <w:ind w:left="315" w:leftChars="150" w:firstLine="105" w:firstLineChars="50"/>
              <w:jc w:val="center"/>
              <w:rPr>
                <w:rFonts w:ascii="宋体" w:hAnsi="宋体" w:cs="宋体"/>
                <w:b/>
                <w:bCs/>
                <w:szCs w:val="21"/>
                <w:u w:val="none"/>
              </w:rPr>
            </w:pPr>
            <w:r>
              <w:rPr>
                <w:rFonts w:hint="eastAsia" w:ascii="宋体" w:hAnsi="宋体" w:cs="宋体"/>
                <w:b/>
                <w:bCs/>
                <w:szCs w:val="21"/>
                <w:u w:val="none"/>
              </w:rPr>
              <w:t>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甲胺磷</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甲拌磷</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氧化乐果</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甲基对硫磷</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呋喃丹</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百菌清</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多菌灵</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汞（以</w:t>
            </w:r>
            <w:r>
              <w:rPr>
                <w:rFonts w:ascii="宋体" w:hAnsi="宋体" w:cs="宋体"/>
                <w:szCs w:val="21"/>
                <w:u w:val="none"/>
              </w:rPr>
              <w:t>Hg</w:t>
            </w:r>
            <w:r>
              <w:rPr>
                <w:rFonts w:hint="eastAsia" w:ascii="宋体" w:hAnsi="宋体" w:cs="宋体"/>
                <w:szCs w:val="21"/>
                <w:u w:val="none"/>
              </w:rPr>
              <w:t>计）</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铅（以</w:t>
            </w:r>
            <w:r>
              <w:rPr>
                <w:rFonts w:ascii="宋体" w:hAnsi="宋体" w:cs="宋体"/>
                <w:szCs w:val="21"/>
                <w:u w:val="none"/>
              </w:rPr>
              <w:t>Bb</w:t>
            </w:r>
            <w:r>
              <w:rPr>
                <w:rFonts w:hint="eastAsia" w:ascii="宋体" w:hAnsi="宋体" w:cs="宋体"/>
                <w:szCs w:val="21"/>
                <w:u w:val="none"/>
              </w:rPr>
              <w:t>计）</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砷（以</w:t>
            </w:r>
            <w:r>
              <w:rPr>
                <w:rFonts w:ascii="宋体" w:hAnsi="宋体" w:cs="宋体"/>
                <w:szCs w:val="21"/>
                <w:u w:val="none"/>
              </w:rPr>
              <w:t>As</w:t>
            </w:r>
            <w:r>
              <w:rPr>
                <w:rFonts w:hint="eastAsia" w:ascii="宋体" w:hAnsi="宋体" w:cs="宋体"/>
                <w:szCs w:val="21"/>
                <w:u w:val="none"/>
              </w:rPr>
              <w:t>计）</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氟（以</w:t>
            </w:r>
            <w:r>
              <w:rPr>
                <w:rFonts w:ascii="宋体" w:hAnsi="宋体" w:cs="宋体"/>
                <w:szCs w:val="21"/>
                <w:u w:val="none"/>
              </w:rPr>
              <w:t>F</w:t>
            </w:r>
            <w:r>
              <w:rPr>
                <w:rFonts w:hint="eastAsia" w:ascii="宋体" w:hAnsi="宋体" w:cs="宋体"/>
                <w:szCs w:val="21"/>
                <w:u w:val="none"/>
              </w:rPr>
              <w:t>计）</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硝酸盐（以</w:t>
            </w:r>
            <w:r>
              <w:rPr>
                <w:rFonts w:ascii="宋体" w:hAnsi="宋体" w:cs="宋体"/>
                <w:szCs w:val="21"/>
                <w:u w:val="none"/>
              </w:rPr>
              <w:t>NaNO2</w:t>
            </w:r>
            <w:r>
              <w:rPr>
                <w:rFonts w:hint="eastAsia" w:ascii="宋体" w:hAnsi="宋体" w:cs="宋体"/>
                <w:szCs w:val="21"/>
                <w:u w:val="none"/>
              </w:rPr>
              <w:t>计）</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瓜果类≤</w:t>
            </w:r>
            <w:r>
              <w:rPr>
                <w:rFonts w:ascii="宋体" w:hAnsi="宋体" w:cs="宋体"/>
                <w:szCs w:val="21"/>
                <w:u w:val="none"/>
              </w:rPr>
              <w:t>600</w:t>
            </w:r>
            <w:r>
              <w:rPr>
                <w:rFonts w:hint="eastAsia" w:ascii="宋体" w:hAnsi="宋体" w:cs="宋体"/>
                <w:szCs w:val="21"/>
                <w:u w:val="none"/>
              </w:rPr>
              <w:t>，叶菜根茎类≤</w:t>
            </w:r>
            <w:r>
              <w:rPr>
                <w:rFonts w:ascii="宋体" w:hAnsi="宋体" w:cs="宋体"/>
                <w:szCs w:val="21"/>
                <w:u w:val="none"/>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363"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亚硝酸盐（以</w:t>
            </w:r>
            <w:r>
              <w:rPr>
                <w:rFonts w:ascii="宋体" w:hAnsi="宋体" w:cs="宋体"/>
                <w:szCs w:val="21"/>
                <w:u w:val="none"/>
              </w:rPr>
              <w:t>NaNO2</w:t>
            </w:r>
            <w:r>
              <w:rPr>
                <w:rFonts w:hint="eastAsia" w:ascii="宋体" w:hAnsi="宋体" w:cs="宋体"/>
                <w:szCs w:val="21"/>
                <w:u w:val="none"/>
              </w:rPr>
              <w:t>计）</w:t>
            </w:r>
          </w:p>
        </w:tc>
        <w:tc>
          <w:tcPr>
            <w:tcW w:w="4147" w:type="dxa"/>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w:t>
            </w:r>
            <w:r>
              <w:rPr>
                <w:rFonts w:ascii="宋体" w:hAnsi="宋体" w:cs="宋体"/>
                <w:szCs w:val="21"/>
                <w:u w:val="none"/>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10" w:type="dxa"/>
            <w:gridSpan w:val="2"/>
            <w:vAlign w:val="center"/>
          </w:tcPr>
          <w:p>
            <w:pPr>
              <w:tabs>
                <w:tab w:val="left" w:pos="2268"/>
              </w:tabs>
              <w:adjustRightInd w:val="0"/>
              <w:snapToGrid w:val="0"/>
              <w:ind w:left="315" w:leftChars="150" w:firstLine="105" w:firstLineChars="50"/>
              <w:jc w:val="center"/>
              <w:rPr>
                <w:rFonts w:ascii="宋体" w:hAnsi="宋体" w:cs="宋体"/>
                <w:szCs w:val="21"/>
                <w:u w:val="none"/>
              </w:rPr>
            </w:pPr>
            <w:r>
              <w:rPr>
                <w:rFonts w:hint="eastAsia" w:ascii="宋体" w:hAnsi="宋体" w:cs="宋体"/>
                <w:szCs w:val="21"/>
                <w:u w:val="none"/>
              </w:rPr>
              <w:t>国家规定其他必检项目必须符合国家标准</w:t>
            </w:r>
          </w:p>
        </w:tc>
      </w:tr>
    </w:tbl>
    <w:p>
      <w:pPr>
        <w:tabs>
          <w:tab w:val="left" w:pos="1050"/>
          <w:tab w:val="left" w:pos="1155"/>
        </w:tabs>
        <w:autoSpaceDE w:val="0"/>
        <w:autoSpaceDN w:val="0"/>
        <w:adjustRightInd w:val="0"/>
        <w:snapToGrid w:val="0"/>
        <w:spacing w:line="312" w:lineRule="auto"/>
        <w:textAlignment w:val="baseline"/>
        <w:rPr>
          <w:rFonts w:ascii="宋体" w:hAnsi="宋体" w:cs="SimSun-Identity-H"/>
          <w:b/>
          <w:bCs/>
          <w:kern w:val="0"/>
          <w:szCs w:val="21"/>
          <w:u w:val="none"/>
        </w:rPr>
      </w:pPr>
    </w:p>
    <w:p>
      <w:pPr>
        <w:tabs>
          <w:tab w:val="left" w:pos="1050"/>
          <w:tab w:val="left" w:pos="1155"/>
        </w:tabs>
        <w:autoSpaceDE w:val="0"/>
        <w:autoSpaceDN w:val="0"/>
        <w:adjustRightInd w:val="0"/>
        <w:snapToGrid w:val="0"/>
        <w:spacing w:line="360" w:lineRule="auto"/>
        <w:textAlignment w:val="baseline"/>
        <w:rPr>
          <w:rFonts w:ascii="宋体" w:hAnsi="宋体" w:cs="SimSun-Identity-H"/>
          <w:b/>
          <w:bCs/>
          <w:kern w:val="0"/>
          <w:szCs w:val="21"/>
          <w:u w:val="none"/>
        </w:rPr>
      </w:pPr>
      <w:r>
        <w:rPr>
          <w:rFonts w:hint="eastAsia" w:ascii="宋体" w:hAnsi="宋体" w:cs="SimSun-Identity-H"/>
          <w:b/>
          <w:bCs/>
          <w:kern w:val="0"/>
          <w:szCs w:val="21"/>
          <w:u w:val="none"/>
        </w:rPr>
        <w:t>四、餐具、相关设备要求</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1、</w:t>
      </w:r>
      <w:r>
        <w:rPr>
          <w:rFonts w:hint="eastAsia" w:ascii="宋体" w:hAnsi="宋体"/>
          <w:szCs w:val="21"/>
          <w:u w:val="none"/>
        </w:rPr>
        <w:t>操作台面、货物架、调料台、蒸烤箱等使用无毒无害材质制作，并符合国家食(饮)具卫生标准等相关规定。</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2、</w:t>
      </w:r>
      <w:r>
        <w:rPr>
          <w:rFonts w:hint="eastAsia" w:ascii="宋体" w:hAnsi="宋体"/>
          <w:szCs w:val="21"/>
          <w:u w:val="none"/>
        </w:rPr>
        <w:t>生产、运输及院内食品分送场所的设施与卫生条件符合国家食品卫生法规要求；餐具符合国家食品卫生标准，使用不锈钢筷子、餐盘、蒸笼等，所有不锈钢筷子、餐盘等餐具必须经高温消毒柜消毒后才能使用。</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3、</w:t>
      </w:r>
      <w:r>
        <w:rPr>
          <w:rFonts w:hint="eastAsia" w:ascii="宋体" w:hAnsi="宋体" w:cs="宋体"/>
          <w:kern w:val="0"/>
          <w:szCs w:val="21"/>
          <w:u w:val="none"/>
        </w:rPr>
        <w:t>冰箱、冰柜所有食物须分开分类放置，熟食品须专用冰箱放置，其他的严格按食品种类分隔的标准独立存放（生食品、与半成品、干货类独立），所有存储容器外均贴上食物资料标签。</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4、</w:t>
      </w:r>
      <w:r>
        <w:rPr>
          <w:rFonts w:hint="eastAsia" w:ascii="宋体" w:hAnsi="宋体"/>
          <w:szCs w:val="21"/>
          <w:u w:val="none"/>
        </w:rPr>
        <w:t>严格区别使用生食、熟食的刀具、砧板，必须分开专用专位放置，并有一定距离。</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5、</w:t>
      </w:r>
      <w:r>
        <w:rPr>
          <w:rFonts w:hint="eastAsia" w:ascii="宋体" w:hAnsi="宋体"/>
          <w:szCs w:val="21"/>
          <w:u w:val="none"/>
        </w:rPr>
        <w:t>餐具、设施做好标识，并分类规范存放。</w:t>
      </w:r>
    </w:p>
    <w:p>
      <w:pPr>
        <w:tabs>
          <w:tab w:val="left" w:pos="1050"/>
          <w:tab w:val="left" w:pos="1155"/>
        </w:tabs>
        <w:autoSpaceDE w:val="0"/>
        <w:autoSpaceDN w:val="0"/>
        <w:adjustRightInd w:val="0"/>
        <w:snapToGrid w:val="0"/>
        <w:spacing w:line="360" w:lineRule="auto"/>
        <w:textAlignment w:val="baseline"/>
        <w:rPr>
          <w:rFonts w:ascii="宋体" w:hAnsi="宋体" w:cs="SimSun-Identity-H"/>
          <w:b/>
          <w:bCs/>
          <w:kern w:val="0"/>
          <w:szCs w:val="21"/>
          <w:u w:val="none"/>
        </w:rPr>
      </w:pPr>
      <w:r>
        <w:rPr>
          <w:rFonts w:hint="eastAsia" w:ascii="宋体" w:hAnsi="宋体" w:cs="SimSun-Identity-H"/>
          <w:kern w:val="0"/>
          <w:szCs w:val="21"/>
          <w:u w:val="none"/>
        </w:rPr>
        <w:t xml:space="preserve">    6、</w:t>
      </w:r>
      <w:r>
        <w:rPr>
          <w:rFonts w:hint="eastAsia" w:ascii="宋体" w:hAnsi="宋体"/>
          <w:szCs w:val="21"/>
          <w:u w:val="none"/>
        </w:rPr>
        <w:t>洗洁精使用要求用原瓶装包装，无毒、安全。</w:t>
      </w:r>
    </w:p>
    <w:p>
      <w:pPr>
        <w:tabs>
          <w:tab w:val="left" w:pos="1050"/>
          <w:tab w:val="left" w:pos="1155"/>
        </w:tabs>
        <w:autoSpaceDE w:val="0"/>
        <w:autoSpaceDN w:val="0"/>
        <w:adjustRightInd w:val="0"/>
        <w:snapToGrid w:val="0"/>
        <w:spacing w:line="312" w:lineRule="auto"/>
        <w:textAlignment w:val="baseline"/>
        <w:rPr>
          <w:rFonts w:ascii="宋体" w:hAnsi="宋体" w:cs="SimSun-Identity-H"/>
          <w:b/>
          <w:bCs/>
          <w:kern w:val="0"/>
          <w:szCs w:val="21"/>
          <w:u w:val="none"/>
        </w:rPr>
      </w:pPr>
    </w:p>
    <w:p>
      <w:pPr>
        <w:tabs>
          <w:tab w:val="left" w:pos="1050"/>
          <w:tab w:val="left" w:pos="1155"/>
        </w:tabs>
        <w:autoSpaceDE w:val="0"/>
        <w:autoSpaceDN w:val="0"/>
        <w:adjustRightInd w:val="0"/>
        <w:snapToGrid w:val="0"/>
        <w:spacing w:line="312" w:lineRule="auto"/>
        <w:textAlignment w:val="baseline"/>
        <w:rPr>
          <w:rFonts w:ascii="宋体" w:hAnsi="宋体" w:cs="SimSun-Identity-H"/>
          <w:b/>
          <w:bCs/>
          <w:kern w:val="0"/>
          <w:szCs w:val="21"/>
          <w:u w:val="none"/>
        </w:rPr>
      </w:pPr>
      <w:r>
        <w:rPr>
          <w:rFonts w:hint="eastAsia" w:ascii="宋体" w:hAnsi="宋体" w:cs="SimSun-Identity-H"/>
          <w:b/>
          <w:bCs/>
          <w:kern w:val="0"/>
          <w:szCs w:val="21"/>
          <w:u w:val="none"/>
        </w:rPr>
        <w:t>五、</w:t>
      </w:r>
      <w:r>
        <w:rPr>
          <w:rFonts w:hint="eastAsia" w:ascii="宋体" w:hAnsi="宋体"/>
          <w:b/>
          <w:bCs/>
          <w:szCs w:val="21"/>
          <w:u w:val="none"/>
        </w:rPr>
        <w:t>卫生安全要求</w:t>
      </w:r>
    </w:p>
    <w:p>
      <w:pPr>
        <w:spacing w:line="360" w:lineRule="auto"/>
        <w:rPr>
          <w:rFonts w:ascii="宋体" w:hAnsi="宋体"/>
          <w:szCs w:val="21"/>
          <w:u w:val="none"/>
        </w:rPr>
      </w:pPr>
      <w:r>
        <w:rPr>
          <w:rFonts w:hint="eastAsia" w:ascii="宋体" w:hAnsi="宋体" w:cs="SimSun-Identity-H"/>
          <w:b/>
          <w:bCs/>
          <w:kern w:val="0"/>
          <w:szCs w:val="21"/>
          <w:u w:val="none"/>
        </w:rPr>
        <w:t xml:space="preserve">    </w:t>
      </w:r>
      <w:r>
        <w:rPr>
          <w:rFonts w:hint="eastAsia" w:ascii="宋体" w:hAnsi="宋体"/>
          <w:szCs w:val="21"/>
          <w:u w:val="none"/>
        </w:rPr>
        <w:t>1、饭堂的卫生防疫、就餐环境和制作的食品及送餐等服务必须符合《食品卫生法》、国家相关的食品卫生标准及本院《饭堂管理制度》要求。</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2、</w:t>
      </w:r>
      <w:r>
        <w:rPr>
          <w:rFonts w:hint="eastAsia" w:ascii="宋体" w:hAnsi="宋体"/>
          <w:szCs w:val="21"/>
          <w:u w:val="none"/>
        </w:rPr>
        <w:t>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3、</w:t>
      </w:r>
      <w:r>
        <w:rPr>
          <w:rFonts w:hint="eastAsia" w:ascii="宋体" w:hAnsi="宋体"/>
          <w:szCs w:val="21"/>
          <w:u w:val="none"/>
        </w:rPr>
        <w:t>一餐一打扫，一周一大扫，平面天天扫，立面周周搞，保持饭堂卫生、整洁。</w:t>
      </w:r>
      <w:r>
        <w:rPr>
          <w:rFonts w:hint="eastAsia" w:ascii="宋体" w:hAnsi="宋体" w:cs="宋体"/>
          <w:szCs w:val="21"/>
          <w:u w:val="none"/>
        </w:rPr>
        <w:t>中标人自行负责承包区域（含阳台、过道、楼梯、厕所、下水道、绿化带等）的环境卫生。</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4、</w:t>
      </w:r>
      <w:r>
        <w:rPr>
          <w:rFonts w:hint="eastAsia" w:ascii="宋体" w:hAnsi="宋体"/>
          <w:szCs w:val="21"/>
          <w:u w:val="none"/>
        </w:rPr>
        <w:t>操作台面、货物架、调料台、蒸烤箱等设备，做到整洁无杂物，无污渍、无灰尘，玻璃罩具光洁明亮。</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5、</w:t>
      </w:r>
      <w:r>
        <w:rPr>
          <w:rFonts w:hint="eastAsia" w:ascii="宋体" w:hAnsi="宋体"/>
          <w:szCs w:val="21"/>
          <w:u w:val="none"/>
        </w:rPr>
        <w:t>擦碗盘与清洁抹布专用，并做好区分，保持干净。</w:t>
      </w:r>
    </w:p>
    <w:p>
      <w:pPr>
        <w:tabs>
          <w:tab w:val="left" w:pos="1050"/>
          <w:tab w:val="left" w:pos="1155"/>
        </w:tabs>
        <w:autoSpaceDE w:val="0"/>
        <w:autoSpaceDN w:val="0"/>
        <w:adjustRightInd w:val="0"/>
        <w:snapToGrid w:val="0"/>
        <w:spacing w:line="360" w:lineRule="auto"/>
        <w:textAlignment w:val="baseline"/>
        <w:rPr>
          <w:rFonts w:ascii="宋体" w:hAnsi="宋体" w:cs="SimSun-Identity-H"/>
          <w:kern w:val="0"/>
          <w:szCs w:val="21"/>
          <w:u w:val="none"/>
        </w:rPr>
      </w:pPr>
      <w:r>
        <w:rPr>
          <w:rFonts w:hint="eastAsia" w:ascii="宋体" w:hAnsi="宋体" w:cs="SimSun-Identity-H"/>
          <w:kern w:val="0"/>
          <w:szCs w:val="21"/>
          <w:u w:val="none"/>
        </w:rPr>
        <w:t xml:space="preserve">    6、</w:t>
      </w:r>
      <w:r>
        <w:rPr>
          <w:rFonts w:hint="eastAsia" w:ascii="宋体" w:hAnsi="宋体"/>
          <w:szCs w:val="21"/>
          <w:u w:val="none"/>
        </w:rPr>
        <w:t>每次餐前、餐中、餐后应及时擦洗饭桌上的残渣、剩饭、油污。餐厨产生垃圾由中标人按环保要求每天自行处理。</w:t>
      </w:r>
    </w:p>
    <w:p>
      <w:pPr>
        <w:tabs>
          <w:tab w:val="left" w:pos="1050"/>
          <w:tab w:val="left" w:pos="1155"/>
        </w:tabs>
        <w:autoSpaceDE w:val="0"/>
        <w:autoSpaceDN w:val="0"/>
        <w:adjustRightInd w:val="0"/>
        <w:snapToGrid w:val="0"/>
        <w:spacing w:line="360" w:lineRule="auto"/>
        <w:ind w:firstLine="421"/>
        <w:textAlignment w:val="baseline"/>
        <w:rPr>
          <w:rFonts w:ascii="宋体" w:hAnsi="宋体"/>
          <w:szCs w:val="21"/>
          <w:u w:val="none"/>
        </w:rPr>
      </w:pPr>
      <w:r>
        <w:rPr>
          <w:rFonts w:hint="eastAsia" w:ascii="宋体" w:hAnsi="宋体" w:cs="SimSun-Identity-H"/>
          <w:kern w:val="0"/>
          <w:szCs w:val="21"/>
          <w:u w:val="none"/>
        </w:rPr>
        <w:t>7、</w:t>
      </w:r>
      <w:r>
        <w:rPr>
          <w:rFonts w:hint="eastAsia" w:ascii="宋体" w:hAnsi="宋体"/>
          <w:szCs w:val="21"/>
          <w:u w:val="none"/>
        </w:rPr>
        <w:t>专人负责餐具的清洗和消毒，餐具使用前必须经过彻底清洁消毒，并符合国家食(饮)具消毒卫生标准等相关规定。</w:t>
      </w:r>
    </w:p>
    <w:p>
      <w:pPr>
        <w:tabs>
          <w:tab w:val="left" w:pos="1050"/>
          <w:tab w:val="left" w:pos="1155"/>
        </w:tabs>
        <w:autoSpaceDE w:val="0"/>
        <w:autoSpaceDN w:val="0"/>
        <w:adjustRightInd w:val="0"/>
        <w:snapToGrid w:val="0"/>
        <w:spacing w:line="360" w:lineRule="auto"/>
        <w:ind w:firstLine="421"/>
        <w:textAlignment w:val="baseline"/>
        <w:rPr>
          <w:rFonts w:ascii="宋体" w:hAnsi="宋体"/>
          <w:b/>
          <w:bCs/>
          <w:szCs w:val="21"/>
          <w:u w:val="none"/>
        </w:rPr>
      </w:pPr>
      <w:r>
        <w:rPr>
          <w:rFonts w:hint="eastAsia" w:ascii="宋体" w:hAnsi="宋体" w:cs="SimSun-Identity-H"/>
          <w:color w:val="FF0000"/>
          <w:kern w:val="0"/>
          <w:szCs w:val="21"/>
          <w:u w:val="none"/>
        </w:rPr>
        <w:t xml:space="preserve"> </w:t>
      </w:r>
      <w:r>
        <w:rPr>
          <w:rFonts w:hint="eastAsia" w:ascii="宋体" w:hAnsi="宋体"/>
          <w:b/>
          <w:bCs/>
          <w:szCs w:val="21"/>
          <w:u w:val="none"/>
        </w:rPr>
        <w:t>★</w:t>
      </w:r>
      <w:r>
        <w:rPr>
          <w:rFonts w:ascii="宋体" w:hAnsi="宋体"/>
          <w:b/>
          <w:bCs/>
          <w:szCs w:val="21"/>
          <w:u w:val="none"/>
        </w:rPr>
        <w:t>8</w:t>
      </w:r>
      <w:r>
        <w:rPr>
          <w:rFonts w:hint="eastAsia" w:ascii="宋体" w:hAnsi="宋体"/>
          <w:b/>
          <w:bCs/>
          <w:szCs w:val="21"/>
          <w:u w:val="none"/>
        </w:rPr>
        <w:t>、</w:t>
      </w:r>
      <w:r>
        <w:rPr>
          <w:rFonts w:hint="eastAsia" w:ascii="宋体" w:hAnsi="宋体"/>
          <w:szCs w:val="21"/>
          <w:u w:val="none"/>
        </w:rPr>
        <w:t>及时疏通和清理油烟系统、隔油池、下水道确保畅通干净，加强灭蝇、灭蟑螂、灭鼠等措施，定期灭杀四害，防蝇、防鼠、防尘设备齐全、有效，环境符合采购人及上级管理部门的要求，合同签订后</w:t>
      </w:r>
      <w:r>
        <w:rPr>
          <w:rFonts w:ascii="宋体" w:hAnsi="宋体"/>
          <w:szCs w:val="21"/>
          <w:u w:val="none"/>
        </w:rPr>
        <w:t>10</w:t>
      </w:r>
      <w:r>
        <w:rPr>
          <w:rFonts w:hint="eastAsia" w:ascii="宋体" w:hAnsi="宋体"/>
          <w:szCs w:val="21"/>
          <w:u w:val="none"/>
        </w:rPr>
        <w:t>天内列出具体实施方案给采购人，所有卫生防疫费用由中标人自行承担。如检查发现厨房有活动性苍蝇、蟑螂、老鼠，视情况轻重扣罚，并限期当天整改，如多次发现，采购人有权终止合同处理。</w:t>
      </w:r>
    </w:p>
    <w:p>
      <w:pPr>
        <w:tabs>
          <w:tab w:val="left" w:pos="1050"/>
          <w:tab w:val="left" w:pos="1155"/>
        </w:tabs>
        <w:autoSpaceDE w:val="0"/>
        <w:autoSpaceDN w:val="0"/>
        <w:adjustRightInd w:val="0"/>
        <w:snapToGrid w:val="0"/>
        <w:spacing w:line="360" w:lineRule="auto"/>
        <w:ind w:firstLine="420" w:firstLineChars="200"/>
        <w:textAlignment w:val="baseline"/>
        <w:rPr>
          <w:rFonts w:ascii="宋体" w:hAnsi="宋体"/>
          <w:szCs w:val="21"/>
          <w:u w:val="none"/>
        </w:rPr>
      </w:pPr>
      <w:r>
        <w:rPr>
          <w:rFonts w:ascii="宋体" w:hAnsi="宋体"/>
          <w:szCs w:val="21"/>
          <w:u w:val="none"/>
        </w:rPr>
        <w:t>9</w:t>
      </w:r>
      <w:r>
        <w:rPr>
          <w:rFonts w:hint="eastAsia" w:ascii="宋体" w:hAnsi="宋体"/>
          <w:szCs w:val="21"/>
          <w:u w:val="none"/>
        </w:rPr>
        <w:t>、排烟设施每周至少一次表面清洗，每年至少两次内部清洗，确保无油渍，避免安全隐患。做好清洗记录、拍照，资料存档，并接受采购人检查。</w:t>
      </w:r>
    </w:p>
    <w:p>
      <w:pPr>
        <w:tabs>
          <w:tab w:val="left" w:pos="1050"/>
          <w:tab w:val="left" w:pos="1155"/>
        </w:tabs>
        <w:autoSpaceDE w:val="0"/>
        <w:autoSpaceDN w:val="0"/>
        <w:adjustRightInd w:val="0"/>
        <w:snapToGrid w:val="0"/>
        <w:spacing w:line="360" w:lineRule="auto"/>
        <w:ind w:firstLine="432"/>
        <w:textAlignment w:val="baseline"/>
        <w:rPr>
          <w:rFonts w:ascii="宋体" w:hAnsi="宋体" w:cs="SimSun-Identity-H"/>
          <w:kern w:val="0"/>
          <w:szCs w:val="21"/>
          <w:u w:val="none"/>
        </w:rPr>
      </w:pPr>
      <w:r>
        <w:rPr>
          <w:rFonts w:hint="eastAsia" w:ascii="宋体" w:hAnsi="宋体" w:cs="SimSun-Identity-H"/>
          <w:kern w:val="0"/>
          <w:szCs w:val="21"/>
          <w:u w:val="none"/>
        </w:rPr>
        <w:t>10、</w:t>
      </w:r>
      <w:r>
        <w:rPr>
          <w:rFonts w:hint="eastAsia" w:ascii="宋体" w:hAnsi="宋体"/>
          <w:szCs w:val="21"/>
          <w:u w:val="none"/>
        </w:rPr>
        <w:t>做好饭堂的消防安全工作，按照国家消防安全标准安装和配置必要的性能完好的消防设施设备，并定期接受采购人及相关机构的监督检查。饭堂内的消防安全及工具、天然气、油烟系统、电源（炉灶、各种炊事设备）等操作事故责任均由中标人承担。</w:t>
      </w:r>
    </w:p>
    <w:p>
      <w:pPr>
        <w:tabs>
          <w:tab w:val="left" w:pos="1050"/>
          <w:tab w:val="left" w:pos="1155"/>
        </w:tabs>
        <w:autoSpaceDE w:val="0"/>
        <w:autoSpaceDN w:val="0"/>
        <w:adjustRightInd w:val="0"/>
        <w:snapToGrid w:val="0"/>
        <w:spacing w:line="360" w:lineRule="auto"/>
        <w:ind w:firstLine="432"/>
        <w:textAlignment w:val="baseline"/>
        <w:rPr>
          <w:rFonts w:ascii="宋体" w:hAnsi="宋体"/>
          <w:szCs w:val="21"/>
          <w:u w:val="none"/>
        </w:rPr>
      </w:pPr>
      <w:r>
        <w:rPr>
          <w:rFonts w:hint="eastAsia" w:ascii="宋体" w:hAnsi="宋体" w:cs="SimSun-Identity-H"/>
          <w:kern w:val="0"/>
          <w:szCs w:val="21"/>
          <w:u w:val="none"/>
        </w:rPr>
        <w:t>11</w:t>
      </w:r>
      <w:r>
        <w:rPr>
          <w:rFonts w:hint="eastAsia" w:ascii="宋体" w:hAnsi="宋体"/>
          <w:szCs w:val="21"/>
          <w:u w:val="none"/>
        </w:rPr>
        <w:t>、上岗员工应保持良好的个人卫生习惯，按规定规范穿戴清洁的工服、工牌、帽子、口罩等。</w:t>
      </w:r>
    </w:p>
    <w:p>
      <w:pPr>
        <w:spacing w:line="360" w:lineRule="auto"/>
        <w:rPr>
          <w:b/>
          <w:szCs w:val="21"/>
          <w:u w:val="none"/>
        </w:rPr>
      </w:pPr>
    </w:p>
    <w:p>
      <w:pPr>
        <w:spacing w:line="360" w:lineRule="auto"/>
        <w:rPr>
          <w:b/>
          <w:szCs w:val="21"/>
          <w:u w:val="none"/>
        </w:rPr>
      </w:pPr>
      <w:r>
        <w:rPr>
          <w:rFonts w:hint="eastAsia"/>
          <w:b/>
          <w:szCs w:val="21"/>
          <w:u w:val="none"/>
        </w:rPr>
        <w:t>六、项目的经营管理要求：</w:t>
      </w:r>
    </w:p>
    <w:p>
      <w:pPr>
        <w:spacing w:line="360" w:lineRule="auto"/>
        <w:ind w:firstLine="420" w:firstLineChars="200"/>
        <w:rPr>
          <w:rFonts w:ascii="宋体" w:hAnsi="宋体" w:cs="宋体"/>
          <w:szCs w:val="21"/>
          <w:u w:val="none"/>
        </w:rPr>
      </w:pPr>
      <w:r>
        <w:rPr>
          <w:rFonts w:hint="eastAsia" w:ascii="宋体" w:hAnsi="宋体" w:cs="宋体"/>
          <w:szCs w:val="21"/>
          <w:u w:val="none"/>
        </w:rPr>
        <w:t>1、中标人必须持有效的《营业执照》、《食品药品经营许可证》等一切必须具有的证件方可开业，</w:t>
      </w:r>
      <w:r>
        <w:rPr>
          <w:rFonts w:hint="eastAsia"/>
          <w:u w:val="none"/>
        </w:rPr>
        <w:t>且营业范围包括餐饮管理或饮食管理或食品经营管理。</w:t>
      </w:r>
    </w:p>
    <w:p>
      <w:pPr>
        <w:spacing w:line="360" w:lineRule="auto"/>
        <w:ind w:firstLine="420" w:firstLineChars="200"/>
        <w:rPr>
          <w:rFonts w:ascii="宋体" w:hAnsi="宋体" w:cs="宋体"/>
          <w:szCs w:val="21"/>
          <w:u w:val="none"/>
        </w:rPr>
      </w:pPr>
      <w:r>
        <w:rPr>
          <w:rFonts w:hint="eastAsia" w:ascii="宋体" w:hAnsi="宋体" w:cs="宋体"/>
          <w:szCs w:val="21"/>
          <w:u w:val="none"/>
        </w:rPr>
        <w:t>2、拟委派在本项目的负责人应为具有丰富从事集体食堂管理经验或从事医院集体食堂管理经验者。（提供相关证明材料）。</w:t>
      </w:r>
    </w:p>
    <w:p>
      <w:pPr>
        <w:spacing w:line="360" w:lineRule="auto"/>
        <w:ind w:firstLine="420" w:firstLineChars="200"/>
        <w:rPr>
          <w:rFonts w:ascii="宋体" w:hAnsi="宋体" w:cs="宋体"/>
          <w:szCs w:val="21"/>
          <w:u w:val="none"/>
        </w:rPr>
      </w:pPr>
      <w:r>
        <w:rPr>
          <w:rFonts w:hint="eastAsia" w:ascii="宋体" w:hAnsi="宋体" w:cs="宋体"/>
          <w:szCs w:val="21"/>
          <w:u w:val="none"/>
        </w:rPr>
        <w:t>3、项目人员管理要求：</w:t>
      </w:r>
    </w:p>
    <w:p>
      <w:pPr>
        <w:spacing w:line="360" w:lineRule="auto"/>
        <w:ind w:firstLine="210" w:firstLineChars="100"/>
        <w:rPr>
          <w:rFonts w:ascii="宋体" w:hAnsi="宋体" w:cs="宋体"/>
          <w:szCs w:val="21"/>
          <w:u w:val="none"/>
        </w:rPr>
      </w:pPr>
      <w:r>
        <w:rPr>
          <w:rFonts w:hint="eastAsia" w:ascii="宋体" w:hAnsi="宋体" w:cs="宋体"/>
          <w:szCs w:val="21"/>
          <w:u w:val="none"/>
        </w:rPr>
        <w:t>★（1）拟委派本项目负责人必须配有高级或以上的《餐饮服务食品安全管理员证》的管理员（投标文件提供证书复印件，投标时提供证书原件核查）。</w:t>
      </w:r>
    </w:p>
    <w:p>
      <w:pPr>
        <w:spacing w:line="360" w:lineRule="auto"/>
        <w:ind w:firstLine="210" w:firstLineChars="100"/>
        <w:rPr>
          <w:rFonts w:ascii="宋体" w:hAnsi="宋体" w:cs="宋体"/>
          <w:szCs w:val="21"/>
          <w:u w:val="none"/>
        </w:rPr>
      </w:pPr>
      <w:r>
        <w:rPr>
          <w:rFonts w:hint="eastAsia" w:ascii="宋体" w:hAnsi="宋体" w:cs="宋体"/>
          <w:szCs w:val="21"/>
          <w:u w:val="none"/>
        </w:rPr>
        <w:t>★（2）中标人应确保餐饮服务项目员工的稳定性以保证项目的服务质量。未经采购人同意，中标人不得随意更换本项目负责人。因故需要更换时，中标人应至少提前一周向采购人主管部门提出书面申请，并经采购人主管部门同意后方可更换。</w:t>
      </w:r>
    </w:p>
    <w:p>
      <w:pPr>
        <w:spacing w:line="360" w:lineRule="auto"/>
        <w:ind w:firstLine="420" w:firstLineChars="200"/>
        <w:rPr>
          <w:rFonts w:ascii="宋体" w:hAnsi="宋体" w:cs="宋体"/>
          <w:szCs w:val="21"/>
          <w:u w:val="none"/>
        </w:rPr>
      </w:pPr>
      <w:r>
        <w:rPr>
          <w:rFonts w:hint="eastAsia" w:ascii="宋体" w:hAnsi="宋体" w:cs="宋体"/>
          <w:szCs w:val="21"/>
          <w:u w:val="none"/>
        </w:rPr>
        <w:t>（3）项目负责人应坚守岗位，每年在正常工作时间离开医院累积不得超过10天。如因故需临时离开医院或休息1天以内的（含1天），中标人应以电话、微信等方式向采购人主管部门请假，离开医院1天以上的（不含1天），应向采购人主管部门提交书面请假单，请假获批离开医院前应提前安排好现场工作。</w:t>
      </w:r>
    </w:p>
    <w:p>
      <w:pPr>
        <w:spacing w:line="360" w:lineRule="auto"/>
        <w:ind w:firstLine="420" w:firstLineChars="200"/>
        <w:rPr>
          <w:rFonts w:ascii="宋体" w:hAnsi="宋体" w:cs="宋体"/>
          <w:szCs w:val="21"/>
          <w:u w:val="none"/>
        </w:rPr>
      </w:pPr>
      <w:r>
        <w:rPr>
          <w:rFonts w:hint="eastAsia" w:ascii="宋体" w:hAnsi="宋体" w:cs="宋体"/>
          <w:szCs w:val="21"/>
          <w:u w:val="none"/>
        </w:rPr>
        <w:t>（4）如中标人委派的项目负责人不符合要求的（有事实依据证明不能胜任管理岗位），采购人有权要求中标人更换该项目管理人员至合格为止。中标人接到采购人书面换人通知后，应在15天内更换合格的项目管理人员到位，逾期不更换或更换的项目管理人员仍不符合要求的，采购人有权单方终止合同。</w:t>
      </w:r>
    </w:p>
    <w:p>
      <w:pPr>
        <w:spacing w:line="360" w:lineRule="auto"/>
        <w:ind w:firstLine="420" w:firstLineChars="200"/>
        <w:rPr>
          <w:rFonts w:ascii="宋体" w:hAnsi="宋体" w:cs="宋体"/>
          <w:szCs w:val="21"/>
          <w:u w:val="none"/>
        </w:rPr>
      </w:pPr>
      <w:r>
        <w:rPr>
          <w:rFonts w:hint="eastAsia" w:ascii="宋体" w:hAnsi="宋体" w:cs="宋体"/>
          <w:szCs w:val="21"/>
          <w:u w:val="none"/>
        </w:rPr>
        <w:t>（5）项目负责人应每天到现场跟进每个岗位员工的工作情况，及时解决员工在工作中遇到的困难或问题，并与所在科室沟通协调和及时反馈。每周</w:t>
      </w:r>
      <w:r>
        <w:rPr>
          <w:rFonts w:hint="eastAsia" w:ascii="宋体" w:hAnsi="宋体"/>
          <w:szCs w:val="21"/>
          <w:u w:val="none"/>
        </w:rPr>
        <w:t>、每月进行饭堂卫生管理、服务质量自查，并记录在案，做好资料归档整理，服务质量不符合要求的实行持续改进和限期整改。</w:t>
      </w:r>
    </w:p>
    <w:p>
      <w:pPr>
        <w:spacing w:line="360" w:lineRule="auto"/>
        <w:ind w:firstLine="420" w:firstLineChars="200"/>
        <w:rPr>
          <w:rFonts w:ascii="宋体" w:hAnsi="宋体" w:cs="宋体"/>
          <w:szCs w:val="21"/>
          <w:u w:val="none"/>
        </w:rPr>
      </w:pPr>
      <w:r>
        <w:rPr>
          <w:rFonts w:hint="eastAsia" w:ascii="宋体" w:hAnsi="宋体" w:cs="宋体"/>
          <w:szCs w:val="21"/>
          <w:u w:val="none"/>
        </w:rPr>
        <w:t>（6）中标人应确保各岗位员工的相对固定，以保证现场服务质量。如有员工离职、休息或生病等原因导致现场员工变动的，项目负责人应提前安排好岗位工作。所有新上岗人员至少进行2天培训并通过考核后方可上岗，新上岗员工的工作，特别是涉及对外窗口的（如收银），项目负责人应加强指导和监督。因新上岗人员服务质量不合格，采购人有权视问题的严重情况，对中标人进行500-1000元的扣罚。</w:t>
      </w:r>
    </w:p>
    <w:p>
      <w:pPr>
        <w:spacing w:line="360" w:lineRule="auto"/>
        <w:ind w:firstLine="210" w:firstLineChars="100"/>
        <w:rPr>
          <w:rFonts w:ascii="宋体" w:hAnsi="宋体" w:cs="宋体"/>
          <w:szCs w:val="21"/>
          <w:u w:val="none"/>
        </w:rPr>
      </w:pPr>
      <w:r>
        <w:rPr>
          <w:rFonts w:hint="eastAsia" w:ascii="宋体" w:hAnsi="宋体" w:cs="宋体"/>
          <w:szCs w:val="21"/>
          <w:u w:val="none"/>
        </w:rPr>
        <w:t>★（7）中标人应保证员工每月正常休息时间，确保员工的身心健康。</w:t>
      </w:r>
    </w:p>
    <w:p>
      <w:pPr>
        <w:spacing w:line="360" w:lineRule="auto"/>
        <w:ind w:firstLine="420" w:firstLineChars="200"/>
        <w:rPr>
          <w:rFonts w:ascii="宋体" w:hAnsi="宋体" w:cs="宋体"/>
          <w:szCs w:val="21"/>
          <w:u w:val="none"/>
        </w:rPr>
      </w:pPr>
      <w:r>
        <w:rPr>
          <w:rFonts w:hint="eastAsia" w:ascii="宋体" w:hAnsi="宋体" w:cs="宋体"/>
          <w:szCs w:val="21"/>
          <w:u w:val="none"/>
        </w:rPr>
        <w:t>（8）中标人的员工应严格遵守医院各项规章制度、疫情管控措施及操作规程，员工上班期间穿着统一的工作服、</w:t>
      </w:r>
      <w:r>
        <w:rPr>
          <w:rFonts w:hint="eastAsia" w:ascii="宋体" w:hAnsi="宋体"/>
          <w:szCs w:val="21"/>
          <w:u w:val="none"/>
        </w:rPr>
        <w:t>规范佩戴帽子、口罩，</w:t>
      </w:r>
      <w:r>
        <w:rPr>
          <w:rFonts w:hint="eastAsia" w:ascii="宋体" w:hAnsi="宋体" w:cs="宋体"/>
          <w:szCs w:val="21"/>
          <w:u w:val="none"/>
        </w:rPr>
        <w:t>佩戴工牌，仪表、仪容整洁。上班时间不得穿短裤、背心、睡衣、拖鞋、高跟鞋等。</w:t>
      </w:r>
    </w:p>
    <w:p>
      <w:pPr>
        <w:spacing w:line="360" w:lineRule="auto"/>
        <w:ind w:firstLine="420" w:firstLineChars="200"/>
        <w:rPr>
          <w:rFonts w:ascii="宋体" w:hAnsi="宋体"/>
          <w:szCs w:val="21"/>
          <w:u w:val="none"/>
        </w:rPr>
      </w:pPr>
      <w:r>
        <w:rPr>
          <w:rFonts w:hint="eastAsia" w:ascii="宋体" w:hAnsi="宋体" w:cs="宋体"/>
          <w:szCs w:val="21"/>
          <w:u w:val="none"/>
        </w:rPr>
        <w:t>（9）中标人的员工应接受采购人的监督和管理，必须使用文明用语，做到文明服务，礼貌待人。工作认真、责任心强，尊重顾客，中标人的员工严禁将本人持有的门禁卡、工牌、饭卡借给他人使用。</w:t>
      </w:r>
    </w:p>
    <w:p>
      <w:pPr>
        <w:spacing w:line="360" w:lineRule="auto"/>
        <w:ind w:firstLine="420" w:firstLineChars="200"/>
        <w:rPr>
          <w:rFonts w:ascii="宋体" w:hAnsi="宋体" w:cs="宋体"/>
          <w:szCs w:val="21"/>
          <w:u w:val="none"/>
        </w:rPr>
      </w:pPr>
      <w:r>
        <w:rPr>
          <w:rFonts w:hint="eastAsia" w:ascii="宋体" w:hAnsi="宋体" w:cs="宋体"/>
          <w:szCs w:val="21"/>
          <w:u w:val="none"/>
        </w:rPr>
        <w:t>（10）中标人的员工严禁聚众聊天、吵闹、打架、拉帮结派、聚集赌博、喝酒、煽动闹事等不良行为，此等行为产生的一切后果及责任由中标人承担。</w:t>
      </w:r>
    </w:p>
    <w:p>
      <w:pPr>
        <w:spacing w:line="360" w:lineRule="auto"/>
        <w:ind w:firstLine="420" w:firstLineChars="200"/>
        <w:rPr>
          <w:rFonts w:ascii="宋体" w:hAnsi="宋体" w:cs="宋体"/>
          <w:szCs w:val="21"/>
          <w:u w:val="none"/>
        </w:rPr>
      </w:pPr>
      <w:r>
        <w:rPr>
          <w:rFonts w:hint="eastAsia" w:ascii="宋体" w:hAnsi="宋体" w:cs="宋体"/>
          <w:szCs w:val="21"/>
          <w:u w:val="none"/>
        </w:rPr>
        <w:t>（11）不在岗员工不得在医院内逗留、留宿和招揽私活等行为，严禁将家属、朋友等无关人员带到工作场所。</w:t>
      </w:r>
    </w:p>
    <w:p>
      <w:pPr>
        <w:spacing w:line="360" w:lineRule="auto"/>
        <w:ind w:firstLine="420" w:firstLineChars="200"/>
        <w:rPr>
          <w:u w:val="none"/>
        </w:rPr>
      </w:pPr>
      <w:r>
        <w:rPr>
          <w:rFonts w:hint="eastAsia" w:ascii="宋体" w:hAnsi="宋体" w:cs="宋体"/>
          <w:szCs w:val="21"/>
          <w:u w:val="none"/>
        </w:rPr>
        <w:t>（12）中标人的员工应自觉维护医院信誉，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p>
      <w:pPr>
        <w:spacing w:line="360" w:lineRule="auto"/>
        <w:ind w:firstLine="420" w:firstLineChars="200"/>
        <w:rPr>
          <w:rFonts w:ascii="宋体" w:hAnsi="宋体" w:cs="宋体"/>
          <w:szCs w:val="21"/>
          <w:u w:val="none"/>
        </w:rPr>
      </w:pPr>
      <w:r>
        <w:rPr>
          <w:rFonts w:hint="eastAsia" w:ascii="宋体" w:hAnsi="宋体" w:cs="宋体"/>
          <w:szCs w:val="21"/>
          <w:u w:val="none"/>
        </w:rPr>
        <w:t>（13）中标人的员工上班期间应坚守岗位，不得迟到、早退，不得脱岗、串岗，不得擅自离开岗位（如因临时有事离开需要向项目负责人请假，并安排有人顶岗后方可离开，未经项目负责人批准私自离岗的按缺岗处理。</w:t>
      </w:r>
    </w:p>
    <w:p>
      <w:pPr>
        <w:spacing w:line="360" w:lineRule="auto"/>
        <w:ind w:firstLine="420" w:firstLineChars="200"/>
        <w:rPr>
          <w:rFonts w:ascii="宋体" w:hAnsi="宋体" w:cs="宋体"/>
          <w:szCs w:val="21"/>
          <w:u w:val="none"/>
        </w:rPr>
      </w:pPr>
      <w:r>
        <w:rPr>
          <w:rFonts w:hint="eastAsia" w:ascii="宋体" w:hAnsi="宋体" w:cs="宋体"/>
          <w:szCs w:val="21"/>
          <w:u w:val="none"/>
        </w:rPr>
        <w:t>（14）中标人应制订员工的培训计划并实施。内容包括</w:t>
      </w:r>
      <w:r>
        <w:rPr>
          <w:rFonts w:hint="eastAsia" w:ascii="宋体" w:hAnsi="宋体"/>
          <w:szCs w:val="21"/>
          <w:u w:val="none"/>
        </w:rPr>
        <w:t>但不限于操作流程、食品安全，消防安全、卫生知识、疫情防控相关知识等，</w:t>
      </w:r>
      <w:r>
        <w:rPr>
          <w:rFonts w:hint="eastAsia" w:ascii="宋体" w:hAnsi="宋体" w:cs="宋体"/>
          <w:szCs w:val="21"/>
          <w:u w:val="none"/>
        </w:rPr>
        <w:t>每月对全体员工培训不少于两次，使员工熟练掌握各项专业技能和提高个人素养等。中标人应建立员工培训档案并做好记录，培训照片存档备查。</w:t>
      </w:r>
    </w:p>
    <w:p>
      <w:pPr>
        <w:spacing w:line="312" w:lineRule="auto"/>
        <w:ind w:firstLine="421"/>
        <w:rPr>
          <w:rFonts w:ascii="宋体" w:hAnsi="宋体" w:cs="宋体"/>
          <w:sz w:val="21"/>
          <w:szCs w:val="21"/>
          <w:u w:val="none"/>
        </w:rPr>
      </w:pPr>
      <w:r>
        <w:rPr>
          <w:rFonts w:hint="eastAsia" w:ascii="宋体" w:hAnsi="宋体" w:cs="宋体"/>
          <w:sz w:val="21"/>
          <w:szCs w:val="21"/>
          <w:u w:val="none"/>
        </w:rPr>
        <w:t>★4、</w:t>
      </w:r>
      <w:r>
        <w:rPr>
          <w:rFonts w:hint="eastAsia" w:ascii="宋体" w:hAnsi="宋体"/>
          <w:b/>
          <w:bCs/>
          <w:sz w:val="21"/>
          <w:szCs w:val="21"/>
          <w:u w:val="none"/>
          <w:lang w:val="zh-CN"/>
        </w:rPr>
        <w:t>中标人须按</w:t>
      </w:r>
      <w:r>
        <w:rPr>
          <w:rFonts w:hint="eastAsia" w:ascii="宋体" w:hAnsi="宋体"/>
          <w:b/>
          <w:bCs/>
          <w:sz w:val="21"/>
          <w:szCs w:val="21"/>
          <w:u w:val="none"/>
        </w:rPr>
        <w:t>日均</w:t>
      </w:r>
      <w:r>
        <w:rPr>
          <w:rFonts w:hint="eastAsia" w:ascii="宋体" w:hAnsi="宋体"/>
          <w:b/>
          <w:bCs/>
          <w:sz w:val="21"/>
          <w:szCs w:val="21"/>
          <w:u w:val="none"/>
          <w:lang w:val="zh-CN"/>
        </w:rPr>
        <w:t>就餐</w:t>
      </w:r>
      <w:r>
        <w:rPr>
          <w:rFonts w:hint="eastAsia" w:ascii="宋体" w:hAnsi="宋体"/>
          <w:b/>
          <w:bCs/>
          <w:sz w:val="21"/>
          <w:szCs w:val="21"/>
          <w:u w:val="none"/>
        </w:rPr>
        <w:t>人数至少40</w:t>
      </w:r>
      <w:r>
        <w:rPr>
          <w:rFonts w:hint="eastAsia" w:ascii="宋体" w:hAnsi="宋体"/>
          <w:b/>
          <w:bCs/>
          <w:sz w:val="21"/>
          <w:szCs w:val="21"/>
          <w:u w:val="none"/>
          <w:lang w:val="zh-CN"/>
        </w:rPr>
        <w:t>:</w:t>
      </w:r>
      <w:r>
        <w:rPr>
          <w:rFonts w:hint="eastAsia" w:ascii="宋体" w:hAnsi="宋体"/>
          <w:b/>
          <w:bCs/>
          <w:sz w:val="21"/>
          <w:szCs w:val="21"/>
          <w:u w:val="none"/>
        </w:rPr>
        <w:t>1</w:t>
      </w:r>
      <w:r>
        <w:rPr>
          <w:rFonts w:hint="eastAsia" w:ascii="宋体" w:hAnsi="宋体"/>
          <w:b/>
          <w:bCs/>
          <w:sz w:val="21"/>
          <w:szCs w:val="21"/>
          <w:u w:val="none"/>
          <w:lang w:val="zh-CN"/>
        </w:rPr>
        <w:t xml:space="preserve"> 的比例配足配齐专业技术人员（包括但不仅限于厨师、点心师、营养师、管理人员、</w:t>
      </w:r>
      <w:r>
        <w:rPr>
          <w:rFonts w:hint="eastAsia" w:ascii="宋体" w:hAnsi="宋体"/>
          <w:b/>
          <w:bCs/>
          <w:sz w:val="21"/>
          <w:szCs w:val="21"/>
          <w:u w:val="none"/>
        </w:rPr>
        <w:t>送餐员等工作人员</w:t>
      </w:r>
      <w:r>
        <w:rPr>
          <w:rFonts w:hint="eastAsia" w:ascii="宋体" w:hAnsi="宋体"/>
          <w:b/>
          <w:bCs/>
          <w:sz w:val="21"/>
          <w:szCs w:val="21"/>
          <w:u w:val="none"/>
          <w:lang w:val="zh-CN"/>
        </w:rPr>
        <w:t>）的人数，以确保管理、服务到位和供餐速度。</w:t>
      </w:r>
      <w:r>
        <w:rPr>
          <w:rFonts w:hint="eastAsia" w:ascii="宋体" w:hAnsi="宋体"/>
          <w:b/>
          <w:bCs/>
          <w:sz w:val="21"/>
          <w:szCs w:val="21"/>
          <w:u w:val="none"/>
        </w:rPr>
        <w:t>如采购人根据实际情况要求增加专业技术人员的，中标人应按照采购人要求进行配备。</w:t>
      </w:r>
      <w:r>
        <w:rPr>
          <w:rFonts w:hint="eastAsia" w:ascii="宋体" w:hAnsi="宋体"/>
          <w:sz w:val="21"/>
          <w:szCs w:val="21"/>
          <w:u w:val="none"/>
        </w:rPr>
        <w:t>中标人</w:t>
      </w:r>
      <w:r>
        <w:rPr>
          <w:rFonts w:hint="eastAsia" w:ascii="宋体" w:hAnsi="宋体" w:cs="宋体"/>
          <w:sz w:val="21"/>
          <w:szCs w:val="21"/>
          <w:u w:val="none"/>
        </w:rPr>
        <w:t>应配备有至少5名粤菜、湘菜、川菜等不同口味菜式的厨师，并要配备驻点营养师和点心师等，中标人所有员工应持有效健康证方可上岗且不得具有传染病和犯罪或不良行为记录。所有人员名单应提交给医院主管部门备案。（提供承诺函）</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★5、 中标人必须遵守国家相关法律法规，遵守医院的规章制度，合法经营，按章纳税，中标人入场前必须为该项目购买相应的食品、财产和人身安全保险，并将该保险复印件提交给采购人备案。中标人对经营过程所发生一切安全责任、债务、劳资纠纷和各种意外事件及其造成的后果负责。</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6、中标人不得将食堂私自转让或委托他人经营，更不能利用采购人资源进行非法经营，一经发现，采购人有权取消其承包资格，并给予经济处罚或追究法律责任。</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7、中标人所采购、制作、销售的食品质量要求必须符合国家的卫生、安全标准，并对其食品负责，并承担其造成的一切后果。因承包者责任造成食物中毒、消防安全或其它安全责任事故等造成严重事故的，采购人有权单方终止合同并保留追究责任的权利。如</w:t>
      </w:r>
      <w:r>
        <w:rPr>
          <w:rFonts w:hint="eastAsia" w:ascii="宋体" w:hAnsi="宋体" w:cs="宋体"/>
          <w:sz w:val="21"/>
          <w:szCs w:val="21"/>
          <w:u w:val="none"/>
          <w:lang w:val="zh-CN"/>
        </w:rPr>
        <w:t>对采购人造成财产或声誉损害的，中标人应承担赔偿责任。</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8、 中标人必须在指定场地和区域内进行生产和经营，严禁在医疗区域兜售食物。</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9、中标人所从事的任何业务不能以小榄人民医院名义对外发布，禁止张贴出现有法律规定在医疗单位不得出现的标志、标识等（如香烟广告等）。</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 xml:space="preserve">10、中标人不得在经营区域内储存任何易燃、易爆、腐蚀性物品及其他危险物品，严禁销售奶瓶、奶嘴、烟草、酒品及国家禁止的药品、伪劣产品及超出经营范围的商品。 </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11、采购人提供的基础设备、设施等，由中标人负责维护和保养，如有损坏或需要维修，由中标人负责。</w:t>
      </w:r>
    </w:p>
    <w:p>
      <w:pPr>
        <w:spacing w:line="360" w:lineRule="auto"/>
        <w:ind w:firstLine="210" w:firstLineChars="100"/>
        <w:rPr>
          <w:rFonts w:ascii="宋体" w:hAnsi="宋体" w:cs="宋体"/>
          <w:sz w:val="21"/>
          <w:szCs w:val="21"/>
          <w:u w:val="none"/>
        </w:rPr>
      </w:pPr>
      <w:r>
        <w:rPr>
          <w:rFonts w:hint="eastAsia" w:ascii="宋体" w:hAnsi="宋体" w:cs="宋体"/>
          <w:sz w:val="21"/>
          <w:szCs w:val="21"/>
          <w:u w:val="none"/>
        </w:rPr>
        <w:t>★12、中标人必须加强对雇用员工的教育与管理，严禁在医院进行非法活动，中标人员工所发生的一切纠纷或意外事故由中标人负责。</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13、中标人必须文明守法，按章纳税，随时接受采购人及政府行政管理部门、治安、消防管理部门的监督和检查。</w:t>
      </w:r>
    </w:p>
    <w:p>
      <w:pPr>
        <w:spacing w:line="360" w:lineRule="auto"/>
        <w:ind w:firstLine="210" w:firstLineChars="100"/>
        <w:rPr>
          <w:rFonts w:ascii="宋体" w:hAnsi="宋体" w:cs="宋体"/>
          <w:sz w:val="21"/>
          <w:szCs w:val="21"/>
          <w:u w:val="none"/>
        </w:rPr>
      </w:pPr>
      <w:r>
        <w:rPr>
          <w:rFonts w:hint="eastAsia" w:ascii="宋体" w:hAnsi="宋体" w:cs="宋体"/>
          <w:sz w:val="21"/>
          <w:szCs w:val="21"/>
          <w:u w:val="none"/>
        </w:rPr>
        <w:t>★14、中标人的员工应遵守餐饮操作规范、法律法规及医院的规章制度要求。员工应注意个人卫生，勤洗手，每天勤换衣着整齐干净，接触食品的员工在工作时戴帽子（头发不得外露）、口罩等，不得佩戴戒指、手镯等饰品。所有员工必须通过培训后，持有健康证方可上岗，患有国家规定的传染病者严禁上岗，患有发热、腹泻、手部皮肤有伤口或感染等情况的员工应立即脱离工作岗位，并在治疗至痊愈或污染食品的可能被排除后，方可恢复上岗。员工必须每年体检一次，体检等费用由承包者负责。</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15、中标人必须按《劳动合同法》等国家法律法规为所有员工缴纳各种社会保险（包括养老、医疗、工伤、生育险、失业保险等），中标人与其员工发生的劳资纠纷、疾病、工伤等一切纠纷、责任事件由中标人负责。因中标人过失造成严重事故的，采购人有权单方终止合同并保留追究责任的权利。</w:t>
      </w:r>
    </w:p>
    <w:p>
      <w:pPr>
        <w:spacing w:line="312" w:lineRule="auto"/>
        <w:rPr>
          <w:sz w:val="21"/>
          <w:szCs w:val="21"/>
          <w:u w:val="none"/>
        </w:rPr>
      </w:pPr>
      <w:r>
        <w:rPr>
          <w:rFonts w:hint="eastAsia" w:ascii="宋体" w:hAnsi="宋体"/>
          <w:sz w:val="21"/>
          <w:szCs w:val="21"/>
          <w:u w:val="none"/>
        </w:rPr>
        <w:t xml:space="preserve">  ▲</w:t>
      </w:r>
      <w:r>
        <w:rPr>
          <w:rFonts w:hint="eastAsia" w:ascii="宋体" w:hAnsi="宋体" w:cs="宋体"/>
          <w:sz w:val="21"/>
          <w:szCs w:val="21"/>
          <w:u w:val="none"/>
        </w:rPr>
        <w:t>16、中标人</w:t>
      </w:r>
      <w:r>
        <w:rPr>
          <w:rFonts w:hint="eastAsia" w:ascii="宋体" w:hAnsi="宋体"/>
          <w:sz w:val="21"/>
          <w:szCs w:val="21"/>
          <w:u w:val="none"/>
        </w:rPr>
        <w:t>根据三甲医院评审的服务要求，制定并不断完善食品操作（准备、处理、贮存、运送、留样等）标准与程序、员工岗位职责及食品安全相关管理制度，在适当位置加设公示牌，列明工作要求以及管理方法。积极配合采购人或公安、消防、安监、食品安全、卫生防疫等部门做好食品安全、卫生的宣传及管理工作。投标人生产、运输及机构内分送场所的设施与卫生条件符合国家食品卫生法规要求，有突发食品安全事件应急预案并根据预案开展的应急演练，有演练记录、有总结和改进措施（每年最少一次）。</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17、中标人应建立完善的投诉事件处理制度与流程，工作人员应有良好的服务态度，及时解决员工或患者及家属反映的问题，确保满意率达到90%以上。禁止与医院员工、患者及家属发生争吵或冲突。凡是经核实的投诉，按500元/次进行处罚。</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18、不断完善各项管理规章制度、人力资源管理方案、具体的日常岗位工作安排、应急管理方案、员工管理制度和奖惩等职责制度并提交给招标人备案，招标人有权要求修订相关制度并监督执行，有权查阅中标人的财务状况及财务报表。</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19、做好台账记录，包括餐具消毒记录、投标人资质台账、餐厨垃圾收运记录等，按要求定时整理和归档资料，妥善保存，以备检查。</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20、按三甲医院的管理要求，开展持续改进。包括对医院反馈问题整改落实措施、效果，定期总结并书面向招标人汇报。</w:t>
      </w:r>
    </w:p>
    <w:p>
      <w:pPr>
        <w:tabs>
          <w:tab w:val="left" w:pos="0"/>
          <w:tab w:val="left" w:pos="567"/>
          <w:tab w:val="left" w:pos="709"/>
        </w:tabs>
        <w:autoSpaceDE w:val="0"/>
        <w:autoSpaceDN w:val="0"/>
        <w:adjustRightInd w:val="0"/>
        <w:snapToGrid w:val="0"/>
        <w:spacing w:line="312" w:lineRule="auto"/>
        <w:ind w:firstLine="420" w:firstLineChars="200"/>
        <w:textAlignment w:val="baseline"/>
        <w:rPr>
          <w:rFonts w:ascii="宋体" w:hAnsi="宋体" w:cs="宋体"/>
          <w:sz w:val="21"/>
          <w:szCs w:val="21"/>
          <w:u w:val="none"/>
        </w:rPr>
      </w:pPr>
      <w:r>
        <w:rPr>
          <w:rFonts w:hint="eastAsia" w:ascii="宋体" w:hAnsi="宋体" w:cs="宋体"/>
          <w:sz w:val="21"/>
          <w:szCs w:val="21"/>
          <w:u w:val="none"/>
        </w:rPr>
        <w:t>21、节能环保要求。</w:t>
      </w:r>
    </w:p>
    <w:p>
      <w:pPr>
        <w:tabs>
          <w:tab w:val="left" w:pos="0"/>
          <w:tab w:val="left" w:pos="567"/>
          <w:tab w:val="left" w:pos="709"/>
        </w:tabs>
        <w:autoSpaceDE w:val="0"/>
        <w:autoSpaceDN w:val="0"/>
        <w:adjustRightInd w:val="0"/>
        <w:snapToGrid w:val="0"/>
        <w:spacing w:line="312" w:lineRule="auto"/>
        <w:ind w:firstLine="420" w:firstLineChars="200"/>
        <w:textAlignment w:val="baseline"/>
        <w:rPr>
          <w:rFonts w:ascii="宋体" w:hAnsi="宋体" w:cs="宋体"/>
          <w:sz w:val="21"/>
          <w:szCs w:val="21"/>
          <w:u w:val="none"/>
        </w:rPr>
      </w:pPr>
      <w:r>
        <w:rPr>
          <w:rFonts w:hint="eastAsia" w:ascii="宋体" w:hAnsi="宋体" w:cs="宋体"/>
          <w:sz w:val="21"/>
          <w:szCs w:val="21"/>
          <w:u w:val="none"/>
        </w:rPr>
        <w:t>①协助采购人创建国家型节约能源公共机构的相关工作，积极开展节能工作，做到节能减排、绿色环保。</w:t>
      </w:r>
    </w:p>
    <w:p>
      <w:pPr>
        <w:tabs>
          <w:tab w:val="left" w:pos="0"/>
          <w:tab w:val="left" w:pos="567"/>
          <w:tab w:val="left" w:pos="709"/>
        </w:tabs>
        <w:autoSpaceDE w:val="0"/>
        <w:autoSpaceDN w:val="0"/>
        <w:adjustRightInd w:val="0"/>
        <w:snapToGrid w:val="0"/>
        <w:spacing w:line="312" w:lineRule="auto"/>
        <w:ind w:firstLine="420" w:firstLineChars="200"/>
        <w:textAlignment w:val="baseline"/>
        <w:rPr>
          <w:rFonts w:ascii="宋体" w:hAnsi="宋体" w:cs="宋体"/>
          <w:sz w:val="21"/>
          <w:szCs w:val="21"/>
          <w:u w:val="none"/>
        </w:rPr>
      </w:pPr>
      <w:r>
        <w:rPr>
          <w:rFonts w:hint="eastAsia" w:ascii="宋体" w:hAnsi="宋体" w:cs="宋体"/>
          <w:sz w:val="21"/>
          <w:szCs w:val="21"/>
          <w:u w:val="none"/>
        </w:rPr>
        <w:t>②实行绿色采购，严格执行国家有关强制采购或优先采购节能产品和技术的规定，采购列入《节能产品政府采购清单》、《环境标志产品政府采购清单》的产品和能效“领跑者”产品。</w:t>
      </w:r>
    </w:p>
    <w:p>
      <w:pPr>
        <w:tabs>
          <w:tab w:val="left" w:pos="0"/>
          <w:tab w:val="left" w:pos="567"/>
          <w:tab w:val="left" w:pos="709"/>
        </w:tabs>
        <w:autoSpaceDE w:val="0"/>
        <w:autoSpaceDN w:val="0"/>
        <w:adjustRightInd w:val="0"/>
        <w:snapToGrid w:val="0"/>
        <w:spacing w:line="312" w:lineRule="auto"/>
        <w:ind w:firstLine="420" w:firstLineChars="200"/>
        <w:textAlignment w:val="baseline"/>
        <w:rPr>
          <w:rFonts w:ascii="宋体" w:hAnsi="宋体" w:cs="宋体"/>
          <w:sz w:val="21"/>
          <w:szCs w:val="21"/>
          <w:u w:val="none"/>
        </w:rPr>
      </w:pPr>
      <w:r>
        <w:rPr>
          <w:rFonts w:hint="eastAsia" w:ascii="宋体" w:hAnsi="宋体" w:cs="宋体"/>
          <w:sz w:val="21"/>
          <w:szCs w:val="21"/>
          <w:u w:val="none"/>
        </w:rPr>
        <w:t>★③采取减少一次性餐具使用的措施。禁止、限制使用不可降解塑料袋、一次性塑料餐具，积极推广使用符合性能和食品安全要求的生物基产品、可降解塑料袋等替代产品，不向顾客主动提供一次性餐具用品，中标人的环保节能工作纳入日常考核，一次性餐具须使用环保符合卫生且可回收的餐具（具有环保符号），不得使用发泡产品，须提供样品样本供采购人确认后方可使用。</w:t>
      </w:r>
    </w:p>
    <w:p>
      <w:pPr>
        <w:tabs>
          <w:tab w:val="left" w:pos="0"/>
          <w:tab w:val="left" w:pos="567"/>
          <w:tab w:val="left" w:pos="709"/>
        </w:tabs>
        <w:autoSpaceDE w:val="0"/>
        <w:autoSpaceDN w:val="0"/>
        <w:adjustRightInd w:val="0"/>
        <w:snapToGrid w:val="0"/>
        <w:spacing w:line="312" w:lineRule="auto"/>
        <w:ind w:firstLine="420" w:firstLineChars="200"/>
        <w:textAlignment w:val="baseline"/>
        <w:rPr>
          <w:sz w:val="21"/>
          <w:szCs w:val="21"/>
          <w:u w:val="none"/>
        </w:rPr>
      </w:pPr>
      <w:r>
        <w:rPr>
          <w:rFonts w:hint="eastAsia" w:ascii="宋体" w:hAnsi="宋体" w:cs="宋体"/>
          <w:sz w:val="21"/>
          <w:szCs w:val="21"/>
          <w:u w:val="none"/>
        </w:rPr>
        <w:t>④中标人的服务及所使用的物品、用具、材料不得违反国家有关环卫、环保相关制度和管理规定，不得对医院的环境造成二次污染；采购人有权对相关事宜进行检查和评估，有权拒绝使用不符合标准的材料，并进行一定金额处罚。</w:t>
      </w:r>
    </w:p>
    <w:p>
      <w:pPr>
        <w:spacing w:line="360" w:lineRule="auto"/>
        <w:ind w:firstLine="210" w:firstLineChars="100"/>
        <w:rPr>
          <w:rFonts w:ascii="宋体" w:hAnsi="宋体" w:cs="宋体"/>
          <w:sz w:val="21"/>
          <w:szCs w:val="21"/>
          <w:u w:val="none"/>
        </w:rPr>
      </w:pPr>
      <w:r>
        <w:rPr>
          <w:rFonts w:hint="eastAsia" w:ascii="宋体" w:hAnsi="宋体" w:cs="宋体"/>
          <w:sz w:val="21"/>
          <w:szCs w:val="21"/>
          <w:u w:val="none"/>
        </w:rPr>
        <w:t>★22、采购人提供现有的设备、设施给中标人使用，中标人必须爱护采购人提供的各项设备、设施。</w:t>
      </w:r>
      <w:r>
        <w:rPr>
          <w:rFonts w:hint="eastAsia" w:ascii="宋体" w:hAnsi="宋体"/>
          <w:sz w:val="21"/>
          <w:szCs w:val="21"/>
          <w:u w:val="none"/>
          <w:lang w:val="zh-CN"/>
        </w:rPr>
        <w:t xml:space="preserve"> 经采购人盘点后开列清单提供给中标人使用，维</w:t>
      </w:r>
      <w:r>
        <w:rPr>
          <w:rFonts w:hint="eastAsia" w:ascii="宋体" w:hAnsi="宋体"/>
          <w:sz w:val="21"/>
          <w:szCs w:val="21"/>
          <w:u w:val="none"/>
        </w:rPr>
        <w:t>护</w:t>
      </w:r>
      <w:r>
        <w:rPr>
          <w:rFonts w:hint="eastAsia" w:ascii="宋体" w:hAnsi="宋体"/>
          <w:sz w:val="21"/>
          <w:szCs w:val="21"/>
          <w:u w:val="none"/>
          <w:lang w:val="zh-CN"/>
        </w:rPr>
        <w:t>费用由中标人</w:t>
      </w:r>
      <w:r>
        <w:rPr>
          <w:rFonts w:hint="eastAsia" w:ascii="宋体" w:hAnsi="宋体"/>
          <w:sz w:val="21"/>
          <w:szCs w:val="21"/>
          <w:u w:val="none"/>
        </w:rPr>
        <w:t>承担</w:t>
      </w:r>
      <w:r>
        <w:rPr>
          <w:rFonts w:hint="eastAsia" w:ascii="宋体" w:hAnsi="宋体"/>
          <w:sz w:val="21"/>
          <w:szCs w:val="21"/>
          <w:u w:val="none"/>
          <w:lang w:val="zh-CN"/>
        </w:rPr>
        <w:t>；合同期满后，中标人应按清单记载内容将相关设施设备完好交回于采购人，并在双方参加下做好交接手续。</w:t>
      </w:r>
      <w:r>
        <w:rPr>
          <w:rFonts w:hint="eastAsia" w:ascii="宋体" w:hAnsi="宋体" w:cs="宋体"/>
          <w:sz w:val="21"/>
          <w:szCs w:val="21"/>
          <w:u w:val="none"/>
        </w:rPr>
        <w:t>中标人需要对承包区域进行装修、改造等改动时，必须书面征得采购人同意后方可实施，所产生的费用由中标人负责。</w:t>
      </w:r>
      <w:r>
        <w:rPr>
          <w:rFonts w:hint="eastAsia" w:ascii="宋体" w:hAnsi="宋体"/>
          <w:sz w:val="21"/>
          <w:szCs w:val="21"/>
          <w:u w:val="none"/>
          <w:lang w:val="zh-CN"/>
        </w:rPr>
        <w:t>添置或更新设施由投标人负责，费用自理。</w:t>
      </w:r>
      <w:r>
        <w:rPr>
          <w:rFonts w:hint="eastAsia" w:ascii="宋体" w:hAnsi="宋体" w:cs="宋体"/>
          <w:sz w:val="21"/>
          <w:szCs w:val="21"/>
          <w:u w:val="none"/>
        </w:rPr>
        <w:t>中标人经营期间必须保证房屋、基础建设及设备设施的完好性，如有损坏由中标人负责相应的费用。承包期满</w:t>
      </w:r>
      <w:r>
        <w:rPr>
          <w:rFonts w:hint="eastAsia" w:ascii="宋体" w:hAnsi="宋体"/>
          <w:sz w:val="21"/>
          <w:szCs w:val="21"/>
          <w:u w:val="none"/>
          <w:lang w:val="zh-CN"/>
        </w:rPr>
        <w:t>投标人撤场后10个工作日内，</w:t>
      </w:r>
      <w:r>
        <w:rPr>
          <w:rFonts w:hint="eastAsia" w:ascii="宋体" w:hAnsi="宋体" w:cs="宋体"/>
          <w:sz w:val="21"/>
          <w:szCs w:val="21"/>
          <w:u w:val="none"/>
        </w:rPr>
        <w:t>中标人可以拆除属于中标人的可移动的设备、设施，</w:t>
      </w:r>
      <w:r>
        <w:rPr>
          <w:rFonts w:hint="eastAsia" w:ascii="宋体" w:hAnsi="宋体"/>
          <w:sz w:val="21"/>
          <w:szCs w:val="21"/>
          <w:u w:val="none"/>
          <w:lang w:val="zh-CN"/>
        </w:rPr>
        <w:t>但处置后不得遗留安全隐患，逾期不处理的，归采购人所有。</w:t>
      </w:r>
      <w:r>
        <w:rPr>
          <w:rFonts w:hint="eastAsia" w:ascii="宋体" w:hAnsi="宋体" w:cs="宋体"/>
          <w:sz w:val="21"/>
          <w:szCs w:val="21"/>
          <w:u w:val="none"/>
        </w:rPr>
        <w:t>固定的、不能拆卸的设备设施不得拆除、破坏，采购人不承担其转让工作。</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23、中标人必须密切配合采购人的工作需要，对医院临时交付的任务能按要求完成并配合接受上级部门的检查。</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24、中标人不得将餐厅私自转让（含窗口分包）或委托他人经营，更不能在公司内搞不法经营，不得对外经营。</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25、中标人负责承包区域治安保卫、安全防火、防盗等工作，服从采购人的统一管理，确保安全无事故。</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26、投标人应提供舒适的就餐环境，当温度≥28℃时应保证空调的正常开启，并定期检查空调、风扇等降温设备的完好性。</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27、中标人应落实采购人、政府机关、其他上级管理部门下达的关于食品安全等方面文件要求，如有改革应积极执行，相关的费用由中标人自行承担。</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28、采购人有特殊任务或应急事件等情况需要紧急提供餐饮服务时，如突发事件、上级检查、采购人重要的大型活动、采购人认为重要的其它事件等，中标人及其员工应积极配合和服从采购人的调遣、指挥并参与应急或加班工作，费用不另外追加。</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▲29、应配置农药检验检测仪，用于抽验蔬果农药残留，并做好检验台账，必要时由采购人检验科检查检测情况。</w:t>
      </w:r>
    </w:p>
    <w:p>
      <w:pPr>
        <w:spacing w:line="360" w:lineRule="auto"/>
        <w:ind w:left="-2" w:leftChars="-1" w:firstLine="420" w:firstLineChars="200"/>
        <w:rPr>
          <w:rFonts w:ascii="宋体" w:hAnsi="宋体"/>
          <w:bCs/>
          <w:sz w:val="21"/>
          <w:szCs w:val="21"/>
          <w:u w:val="none"/>
        </w:rPr>
      </w:pPr>
      <w:r>
        <w:rPr>
          <w:rFonts w:hint="eastAsia" w:ascii="宋体" w:hAnsi="宋体" w:cs="宋体"/>
          <w:bCs/>
          <w:sz w:val="21"/>
          <w:szCs w:val="21"/>
          <w:u w:val="none"/>
        </w:rPr>
        <w:t>★</w:t>
      </w:r>
      <w:r>
        <w:rPr>
          <w:rFonts w:hint="eastAsia" w:ascii="宋体" w:hAnsi="宋体"/>
          <w:bCs/>
          <w:sz w:val="21"/>
          <w:szCs w:val="21"/>
          <w:u w:val="none"/>
        </w:rPr>
        <w:t>30、合同终止时，中标人应将采购人所需保存的所有培训资料</w:t>
      </w:r>
      <w:r>
        <w:rPr>
          <w:rFonts w:hint="eastAsia" w:asciiTheme="minorEastAsia" w:hAnsiTheme="minorEastAsia" w:eastAsiaTheme="minorEastAsia"/>
          <w:sz w:val="21"/>
          <w:szCs w:val="21"/>
          <w:u w:val="none"/>
        </w:rPr>
        <w:t>（签到表、培训内容、培训总结、培训照片等）</w:t>
      </w:r>
      <w:r>
        <w:rPr>
          <w:rFonts w:hint="eastAsia" w:ascii="宋体" w:hAnsi="宋体"/>
          <w:bCs/>
          <w:sz w:val="21"/>
          <w:szCs w:val="21"/>
          <w:u w:val="none"/>
        </w:rPr>
        <w:t>及经营、管理原始资料移交给采购人，并完成所有交接手续后方可撤场。</w:t>
      </w:r>
    </w:p>
    <w:p>
      <w:pPr>
        <w:spacing w:line="360" w:lineRule="auto"/>
        <w:ind w:firstLine="420" w:firstLineChars="200"/>
        <w:rPr>
          <w:rFonts w:ascii="宋体" w:hAnsi="宋体"/>
          <w:sz w:val="21"/>
          <w:szCs w:val="21"/>
          <w:u w:val="none"/>
        </w:rPr>
      </w:pPr>
    </w:p>
    <w:p>
      <w:pPr>
        <w:spacing w:line="360" w:lineRule="auto"/>
        <w:rPr>
          <w:rFonts w:ascii="宋体" w:hAnsi="宋体"/>
          <w:b/>
          <w:sz w:val="21"/>
          <w:szCs w:val="21"/>
          <w:u w:val="none"/>
        </w:rPr>
      </w:pPr>
      <w:r>
        <w:rPr>
          <w:rFonts w:hint="eastAsia" w:ascii="宋体" w:hAnsi="宋体"/>
          <w:b/>
          <w:sz w:val="21"/>
          <w:szCs w:val="21"/>
          <w:u w:val="none"/>
        </w:rPr>
        <w:t>七、监督管理要求：</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1、中标人及员工必须配合采购人主管部门的监督与考核（考核方案详见附表），不得以任何理由拒绝或阻挠，并应根据考核提出的合理建议和要求进行改进，如果有异议的可以在两天内向采购人主管部门提出。</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2、中标人应配合采购人的价格监督。中标人应提供每月原材料的采购票据及凭证、成本明细报表（不得弄虚作假）、售价（定价方案等）供采购人审核，一旦发现有私自提价或乱收费的现象，扣罚500-1000元/次。一旦发现中标人的利润高于规定的利润者，视情况予以扣罚1000-3000元/次并立即调价至要求的范围内。</w:t>
      </w:r>
    </w:p>
    <w:p>
      <w:pPr>
        <w:spacing w:line="360" w:lineRule="auto"/>
        <w:ind w:firstLine="420" w:firstLineChars="200"/>
        <w:rPr>
          <w:sz w:val="21"/>
          <w:szCs w:val="21"/>
          <w:u w:val="none"/>
        </w:rPr>
      </w:pPr>
      <w:r>
        <w:rPr>
          <w:rFonts w:hint="eastAsia" w:ascii="宋体" w:hAnsi="宋体" w:cs="宋体"/>
          <w:sz w:val="21"/>
          <w:szCs w:val="21"/>
          <w:u w:val="none"/>
        </w:rPr>
        <w:t>3、中标人应将公司管理人员信息及员工名单、健康证复印件提交给采购人主管部门备案。中标人不得因人员配备不足而影响服务质量，采购人主管部门发现一次扣罚200元。</w:t>
      </w:r>
      <w:r>
        <w:rPr>
          <w:rFonts w:hint="eastAsia" w:ascii="宋体" w:hAnsi="宋体"/>
          <w:sz w:val="21"/>
          <w:szCs w:val="21"/>
          <w:u w:val="none"/>
        </w:rPr>
        <w:t>监管过程中发现有未办健康证就入职的员工或健康证过期未及时更换，扣罚50-100元/人/次。</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4、中标人应制定应对投诉、食品质量、食物中毒等不良事件的处理流程，员工应掌握不良事件上报流程及处理方法，中标人接到投诉或有争议的不良事件时，管理人员应1小时内赶到现场进行调查和处理（急事件在2小时内，一般事件1天内完成处理措施，将损害减到最小），不良事件处理结束后，应填写《不良事件追踪调查表》，对事件进行原因分析及持续改进，以免类似情况再次发生，并在3天内将《不良事件追踪调查表》交给采购人主管部门。一旦出现严重的服务缺陷投诉、食品、安全质量事故，中标人还须承担相应的责任外，扣罚500-1000元/次。</w:t>
      </w:r>
    </w:p>
    <w:p>
      <w:pPr>
        <w:spacing w:line="360" w:lineRule="auto"/>
        <w:ind w:firstLine="420" w:firstLineChars="200"/>
        <w:rPr>
          <w:rFonts w:ascii="宋体" w:hAnsi="宋体" w:cs="宋体"/>
          <w:sz w:val="21"/>
          <w:szCs w:val="21"/>
          <w:u w:val="none"/>
        </w:rPr>
      </w:pPr>
      <w:r>
        <w:rPr>
          <w:rFonts w:hint="eastAsia" w:ascii="宋体" w:hAnsi="宋体" w:cs="宋体"/>
          <w:sz w:val="21"/>
          <w:szCs w:val="21"/>
          <w:u w:val="none"/>
        </w:rPr>
        <w:t>5、中标人应管理好所属员工，必须遵守国家有关法律法规和采购人的劳动纪律，所属员工发生的一切投诉、纠纷和法律事件，一概由中标人承担。若因中标人管理不善、控制不力而发生中标人员工群体游行、示威、罢工等重大事件且造成严重影响的，每次扣罚5000元。在合同期内累计发生两次重大事件，采购人有权根据具体情况决定单方解除合同，并没收履约保证金。</w:t>
      </w:r>
    </w:p>
    <w:p>
      <w:pPr>
        <w:spacing w:line="360" w:lineRule="auto"/>
        <w:ind w:firstLine="420" w:firstLineChars="200"/>
        <w:rPr>
          <w:sz w:val="21"/>
          <w:szCs w:val="21"/>
          <w:u w:val="none"/>
        </w:rPr>
      </w:pPr>
      <w:r>
        <w:rPr>
          <w:rFonts w:hint="eastAsia" w:ascii="宋体" w:hAnsi="宋体" w:cs="宋体"/>
          <w:sz w:val="21"/>
          <w:szCs w:val="21"/>
          <w:u w:val="none"/>
        </w:rPr>
        <w:t>6、服务质量考评：采购人每月根据《小榄人民医院饭堂服务质量监督检查记录表》（详见附表）对中标人的服务质量进行考评，考评总分为100分，当月考评总分在90分及以上为合格。考核分在85-90分（含85分）之间，不予扣罚，但中标人需要对存在问题予以立即改进，如因中标人责任所致的同一问题第二次出现的，扣罚300元/次；考核分在80-85分（含80分）之间，每少一分扣200元/分；考核分在75-80分（含75分）之间，每少一分扣300元/分；考核分低于75分（不含75分）以下的，每少一分，扣500元/分；连续两个月考核结果低于75分（不含75分）的，采购人有权单方解除合同重新招标。</w:t>
      </w:r>
    </w:p>
    <w:p>
      <w:pPr>
        <w:spacing w:line="360" w:lineRule="auto"/>
        <w:ind w:firstLine="420" w:firstLineChars="200"/>
        <w:rPr>
          <w:rFonts w:ascii="宋体" w:hAnsi="宋体"/>
          <w:sz w:val="22"/>
          <w:szCs w:val="28"/>
          <w:u w:val="none"/>
        </w:rPr>
      </w:pPr>
      <w:r>
        <w:rPr>
          <w:rFonts w:hint="eastAsia" w:ascii="宋体" w:hAnsi="宋体"/>
          <w:u w:val="none"/>
        </w:rPr>
        <w:t>附表：</w:t>
      </w:r>
    </w:p>
    <w:p>
      <w:pPr>
        <w:spacing w:line="360" w:lineRule="auto"/>
        <w:jc w:val="center"/>
        <w:rPr>
          <w:rFonts w:asciiTheme="minorEastAsia" w:hAnsiTheme="minorEastAsia" w:eastAsiaTheme="minorEastAsia"/>
          <w:sz w:val="22"/>
          <w:szCs w:val="22"/>
          <w:u w:val="none"/>
        </w:rPr>
      </w:pPr>
      <w:r>
        <w:rPr>
          <w:rFonts w:hint="eastAsia" w:asciiTheme="minorEastAsia" w:hAnsiTheme="minorEastAsia" w:eastAsiaTheme="minorEastAsia"/>
          <w:b/>
          <w:sz w:val="28"/>
          <w:szCs w:val="28"/>
          <w:u w:val="none"/>
        </w:rPr>
        <w:t>小榄人民医院餐饮服务质量监督考评表</w:t>
      </w:r>
    </w:p>
    <w:tbl>
      <w:tblPr>
        <w:tblStyle w:val="14"/>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5098"/>
        <w:gridCol w:w="690"/>
        <w:gridCol w:w="2999"/>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3" w:type="dxa"/>
            <w:shd w:val="clear" w:color="000000" w:fill="FFFFFF"/>
            <w:vAlign w:val="center"/>
          </w:tcPr>
          <w:p>
            <w:pPr>
              <w:widowControl/>
              <w:jc w:val="center"/>
              <w:rPr>
                <w:rFonts w:cs="宋体" w:asciiTheme="majorEastAsia" w:hAnsiTheme="majorEastAsia" w:eastAsiaTheme="majorEastAsia"/>
                <w:b/>
                <w:bCs/>
                <w:kern w:val="0"/>
                <w:sz w:val="20"/>
                <w:szCs w:val="20"/>
                <w:u w:val="none"/>
              </w:rPr>
            </w:pPr>
            <w:r>
              <w:rPr>
                <w:rFonts w:hint="eastAsia" w:cs="宋体" w:asciiTheme="majorEastAsia" w:hAnsiTheme="majorEastAsia" w:eastAsiaTheme="majorEastAsia"/>
                <w:b/>
                <w:bCs/>
                <w:kern w:val="0"/>
                <w:sz w:val="20"/>
                <w:szCs w:val="20"/>
                <w:u w:val="none"/>
              </w:rPr>
              <w:t>项目</w:t>
            </w:r>
          </w:p>
        </w:tc>
        <w:tc>
          <w:tcPr>
            <w:tcW w:w="5098" w:type="dxa"/>
            <w:shd w:val="clear" w:color="000000" w:fill="FFFFFF"/>
            <w:vAlign w:val="center"/>
          </w:tcPr>
          <w:p>
            <w:pPr>
              <w:widowControl/>
              <w:jc w:val="center"/>
              <w:rPr>
                <w:rFonts w:cs="宋体" w:asciiTheme="majorEastAsia" w:hAnsiTheme="majorEastAsia" w:eastAsiaTheme="majorEastAsia"/>
                <w:b/>
                <w:bCs/>
                <w:kern w:val="0"/>
                <w:sz w:val="20"/>
                <w:szCs w:val="20"/>
                <w:u w:val="none"/>
              </w:rPr>
            </w:pPr>
            <w:r>
              <w:rPr>
                <w:rFonts w:hint="eastAsia" w:cs="宋体" w:asciiTheme="majorEastAsia" w:hAnsiTheme="majorEastAsia" w:eastAsiaTheme="majorEastAsia"/>
                <w:b/>
                <w:bCs/>
                <w:kern w:val="0"/>
                <w:sz w:val="20"/>
                <w:szCs w:val="20"/>
                <w:u w:val="none"/>
              </w:rPr>
              <w:t>质量标准</w:t>
            </w:r>
          </w:p>
        </w:tc>
        <w:tc>
          <w:tcPr>
            <w:tcW w:w="690" w:type="dxa"/>
            <w:shd w:val="clear" w:color="000000" w:fill="FFFFFF"/>
            <w:vAlign w:val="center"/>
          </w:tcPr>
          <w:p>
            <w:pPr>
              <w:widowControl/>
              <w:jc w:val="center"/>
              <w:rPr>
                <w:rFonts w:cs="宋体" w:asciiTheme="majorEastAsia" w:hAnsiTheme="majorEastAsia" w:eastAsiaTheme="majorEastAsia"/>
                <w:b/>
                <w:bCs/>
                <w:kern w:val="0"/>
                <w:sz w:val="20"/>
                <w:szCs w:val="20"/>
                <w:u w:val="none"/>
              </w:rPr>
            </w:pPr>
            <w:r>
              <w:rPr>
                <w:rFonts w:hint="eastAsia" w:cs="宋体" w:asciiTheme="majorEastAsia" w:hAnsiTheme="majorEastAsia" w:eastAsiaTheme="majorEastAsia"/>
                <w:b/>
                <w:bCs/>
                <w:kern w:val="0"/>
                <w:sz w:val="20"/>
                <w:szCs w:val="20"/>
                <w:u w:val="none"/>
              </w:rPr>
              <w:t>分值</w:t>
            </w:r>
            <w:r>
              <w:rPr>
                <w:rFonts w:hint="eastAsia" w:cs="宋体" w:asciiTheme="majorEastAsia" w:hAnsiTheme="majorEastAsia" w:eastAsiaTheme="majorEastAsia"/>
                <w:b/>
                <w:kern w:val="0"/>
                <w:sz w:val="20"/>
                <w:szCs w:val="20"/>
                <w:u w:val="none"/>
              </w:rPr>
              <w:t>(分)</w:t>
            </w:r>
          </w:p>
        </w:tc>
        <w:tc>
          <w:tcPr>
            <w:tcW w:w="2999" w:type="dxa"/>
            <w:shd w:val="clear" w:color="auto" w:fill="auto"/>
            <w:vAlign w:val="center"/>
          </w:tcPr>
          <w:p>
            <w:pPr>
              <w:widowControl/>
              <w:jc w:val="center"/>
              <w:rPr>
                <w:rFonts w:cs="宋体" w:asciiTheme="majorEastAsia" w:hAnsiTheme="majorEastAsia" w:eastAsiaTheme="majorEastAsia"/>
                <w:b/>
                <w:bCs/>
                <w:kern w:val="0"/>
                <w:sz w:val="20"/>
                <w:szCs w:val="20"/>
                <w:u w:val="none"/>
              </w:rPr>
            </w:pPr>
            <w:r>
              <w:rPr>
                <w:rFonts w:hint="eastAsia" w:cs="宋体" w:asciiTheme="majorEastAsia" w:hAnsiTheme="majorEastAsia" w:eastAsiaTheme="majorEastAsia"/>
                <w:b/>
                <w:bCs/>
                <w:kern w:val="0"/>
                <w:sz w:val="20"/>
                <w:szCs w:val="20"/>
                <w:u w:val="none"/>
              </w:rPr>
              <w:t>考核方法</w:t>
            </w:r>
          </w:p>
        </w:tc>
        <w:tc>
          <w:tcPr>
            <w:tcW w:w="641" w:type="dxa"/>
            <w:shd w:val="clear" w:color="auto" w:fill="auto"/>
            <w:vAlign w:val="center"/>
          </w:tcPr>
          <w:p>
            <w:pPr>
              <w:widowControl/>
              <w:jc w:val="center"/>
              <w:rPr>
                <w:rFonts w:cs="宋体" w:asciiTheme="majorEastAsia" w:hAnsiTheme="majorEastAsia" w:eastAsiaTheme="majorEastAsia"/>
                <w:b/>
                <w:bCs/>
                <w:kern w:val="0"/>
                <w:sz w:val="20"/>
                <w:szCs w:val="20"/>
                <w:u w:val="none"/>
              </w:rPr>
            </w:pPr>
            <w:r>
              <w:rPr>
                <w:rFonts w:hint="eastAsia" w:cs="宋体" w:asciiTheme="majorEastAsia" w:hAnsiTheme="majorEastAsia" w:eastAsiaTheme="majorEastAsia"/>
                <w:b/>
                <w:bCs/>
                <w:kern w:val="0"/>
                <w:sz w:val="20"/>
                <w:szCs w:val="20"/>
                <w:u w:val="none"/>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3" w:type="dxa"/>
            <w:vMerge w:val="restart"/>
            <w:shd w:val="clear" w:color="000000" w:fill="FFFFFF"/>
            <w:vAlign w:val="center"/>
          </w:tcPr>
          <w:p>
            <w:pPr>
              <w:widowControl/>
              <w:jc w:val="center"/>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一、公司管理(10分）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b/>
                <w:bCs/>
                <w:sz w:val="20"/>
                <w:szCs w:val="20"/>
                <w:u w:val="none"/>
              </w:rPr>
              <w:t>1.管理人员在岗情况：</w:t>
            </w:r>
            <w:r>
              <w:rPr>
                <w:rFonts w:hint="eastAsia" w:asciiTheme="majorEastAsia" w:hAnsiTheme="majorEastAsia" w:eastAsiaTheme="majorEastAsia"/>
                <w:sz w:val="20"/>
                <w:szCs w:val="20"/>
                <w:u w:val="none"/>
              </w:rPr>
              <w:t>项目经理及主管要坚守工作岗位，在工作日请假休息或途中离开医院的，应向医院主管部门报备并做好工作安排，管理人员每季度离开医院累积时间不得超过10天（正常休息日除外），接受后勤部统一微信共享定位查岗。</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2</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管理人员无故离岗或休息不向医院主管部门报备的，一次扣1分；如因管理人员休息而工作安排不到位导致不良后果的，扣减100元/次。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b/>
                <w:bCs/>
                <w:sz w:val="20"/>
                <w:szCs w:val="20"/>
                <w:u w:val="none"/>
              </w:rPr>
              <w:t>2.提交工作资料：</w:t>
            </w:r>
            <w:r>
              <w:rPr>
                <w:rFonts w:hint="eastAsia" w:asciiTheme="majorEastAsia" w:hAnsiTheme="majorEastAsia" w:eastAsiaTheme="majorEastAsia"/>
                <w:sz w:val="20"/>
                <w:szCs w:val="20"/>
                <w:u w:val="none"/>
              </w:rPr>
              <w:t>项目经理应按时交齐周小结及周计划、月总结（含上月存在问题和改进措施落实情况、工作亮点与不足等）及月计划（包括月岗位配置、排班表、员工变动和休假情况、培训计划及实施情况）和公司内部对现场的服务质量监督现场原始记录表（复印件）等资料。医院主管部门有权根据工作需要查阅公司的岗位职责、操作流程、工作质量标准及培训资料等内容。</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3</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公司未按时交齐相关资料的或拒绝配合医院主管部门检查的，扣1分/次，扣完为止。</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b/>
                <w:bCs/>
                <w:sz w:val="20"/>
                <w:szCs w:val="20"/>
                <w:u w:val="none"/>
              </w:rPr>
              <w:t>3.员工培训：</w:t>
            </w:r>
            <w:r>
              <w:rPr>
                <w:rFonts w:hint="eastAsia" w:asciiTheme="majorEastAsia" w:hAnsiTheme="majorEastAsia" w:eastAsiaTheme="majorEastAsia"/>
                <w:sz w:val="20"/>
                <w:szCs w:val="20"/>
                <w:u w:val="none"/>
              </w:rPr>
              <w:t>公司有食品安全培训计划并针对员工进行实施，定期开展应急演练（集体中毒、停水、停电、停气等），员工熟悉本职工作职责和流程、相关法律法规、应急预案和处理方法、消防知识等，应急处理培训合格率达100%。新入职员工应培训合格方可单独上岗。</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2</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无落实培训计划或无应急演练的，缺一次扣1分；抽问4名员工，对岗位职责、工作流程、应急处理预案、消防知识等内容不熟悉的，扣0.5分/人。新入职员工未经培训或培训后不熟悉工作要求和流程而单独上岗的，扣减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b/>
                <w:bCs/>
                <w:sz w:val="20"/>
                <w:szCs w:val="20"/>
                <w:u w:val="none"/>
              </w:rPr>
              <w:t>4.质量持续改进：</w:t>
            </w:r>
            <w:r>
              <w:rPr>
                <w:rFonts w:hint="eastAsia" w:asciiTheme="majorEastAsia" w:hAnsiTheme="majorEastAsia" w:eastAsiaTheme="majorEastAsia"/>
                <w:sz w:val="20"/>
                <w:szCs w:val="20"/>
                <w:u w:val="none"/>
              </w:rPr>
              <w:t>公司对客户提出的问题及时改进，投诉处理率为100%。发生不良事件时，应在1小时内采取补救措施将影响降到最低，处理结束后，填《不良事件登记表》并发生原因进行分析并持续改进，在一周内将填写完整的《不良事件登记表》提交主管部门报备，改进措施有效，因公司责任导致的同类不良事件不得出现两次。如收到员工反映问题应书面回复改进措施；如收到医院发出的整改通知函，应按期整改并提交整改意见</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3</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未按要求处理或改进的，扣1分/次，未填写登记表并提交整改意见的，扣1次/次；如果因公司责任再次发生同类不良事件的，扣3分/项，扣完为止。</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restart"/>
            <w:vAlign w:val="center"/>
          </w:tcPr>
          <w:p>
            <w:pPr>
              <w:widowControl/>
              <w:jc w:val="center"/>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二、满意度调查（20分）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1.每月根据满意度调查表分别对医院工作人员、患者及家属进行满意度调查，要求服务满意度≥90%；</w:t>
            </w:r>
          </w:p>
        </w:tc>
        <w:tc>
          <w:tcPr>
            <w:tcW w:w="690" w:type="dxa"/>
            <w:shd w:val="clear" w:color="000000" w:fill="FFFFFF"/>
            <w:vAlign w:val="center"/>
          </w:tcPr>
          <w:p>
            <w:pPr>
              <w:jc w:val="center"/>
              <w:rPr>
                <w:rFonts w:cs="宋体" w:asciiTheme="majorEastAsia" w:hAnsiTheme="majorEastAsia" w:eastAsiaTheme="majorEastAsia"/>
                <w:color w:val="FF0000"/>
                <w:sz w:val="20"/>
                <w:szCs w:val="20"/>
                <w:u w:val="none"/>
              </w:rPr>
            </w:pPr>
            <w:r>
              <w:rPr>
                <w:rFonts w:hint="eastAsia" w:asciiTheme="majorEastAsia" w:hAnsiTheme="majorEastAsia" w:eastAsiaTheme="majorEastAsia"/>
                <w:sz w:val="20"/>
                <w:szCs w:val="20"/>
                <w:u w:val="none"/>
              </w:rPr>
              <w:t>18</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由医院主管部门每月分别发放医院工作人员、患者和家属满意度调查表各10份（随机），统计满意率，满意率在85%-89%分的，公司应限期整改，因公司责任而整改无效的（同类问题三次出现的），每项扣1分；满意率在80%-84%，每少1%扣2分，在75%-79%，每少1%扣5分，在74%以下，每少1%扣10分，扣完该项分为止。连续两个月满意率≤70%的，医院有权单方终止合同，重新另外招标。</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2.要求每月推出新菜品不少于2次，并对菜品进行现场调查、意见征询并汇总，提交汇总结果至主管部门，并经主管部门同意后进行菜品及单价调整。</w:t>
            </w:r>
          </w:p>
        </w:tc>
        <w:tc>
          <w:tcPr>
            <w:tcW w:w="690" w:type="dxa"/>
            <w:shd w:val="clear" w:color="000000" w:fill="FFFFFF"/>
            <w:vAlign w:val="center"/>
          </w:tcPr>
          <w:p>
            <w:pPr>
              <w:jc w:val="center"/>
              <w:rPr>
                <w:rFonts w:cs="宋体" w:asciiTheme="majorEastAsia" w:hAnsiTheme="majorEastAsia" w:eastAsiaTheme="majorEastAsia"/>
                <w:color w:val="FF0000"/>
                <w:sz w:val="20"/>
                <w:szCs w:val="20"/>
                <w:u w:val="none"/>
              </w:rPr>
            </w:pPr>
            <w:r>
              <w:rPr>
                <w:rFonts w:hint="eastAsia" w:asciiTheme="majorEastAsia" w:hAnsiTheme="majorEastAsia" w:eastAsiaTheme="majorEastAsia"/>
                <w:sz w:val="20"/>
                <w:szCs w:val="20"/>
                <w:u w:val="none"/>
              </w:rPr>
              <w:t>1</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如每月新推出少于2个菜品的，扣减0.5分；如推出后没有按照要求进行现场调研和意见征询的，扣减0.5分/次，扣完为止。</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3.每月进行一次调查，选出每月最受欢迎的员工菜式与最不受欢迎的员工菜式，并在每月第一周提交上个月评选结果及相关评选资料，并对菜品进行调整。</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未按要求进行调查的，扣减0.5分；未在规定时间内提交完整资料的，扣减0.5分。</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pPr>
              <w:widowControl/>
              <w:jc w:val="center"/>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三、应急处理(15分)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应建立各类应急预案并组织演练，有培训和演练记录。员工能熟练掌握各类突发事件(包括集体中毒、停水、停电、停气等）的应急处理方法，应对措施得当，确保医院餐饮的正常供应，不得因公司员工失职导致的损害发生。</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3</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检查培训和演练记录，抽问员工对突发事件处理方法，一人不掌握的扣0.5分；如果发生紧急情况却不前往现场处理的，或到场不作为的，一经查实，扣3分/次,公司承担因此造成后果，情节严重的，医院有权单方无条件终止合同。</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2.严格控制餐饮供应质量，保证中毒发生率为0。一旦发生食物中毒的事件，第一时间积极正确地进行处理，并上报主相关管部门，不得隐瞒。</w:t>
            </w:r>
          </w:p>
        </w:tc>
        <w:tc>
          <w:tcPr>
            <w:tcW w:w="690" w:type="dxa"/>
            <w:shd w:val="clear" w:color="000000" w:fill="FFFFFF"/>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12</w:t>
            </w:r>
          </w:p>
        </w:tc>
        <w:tc>
          <w:tcPr>
            <w:tcW w:w="2999" w:type="dxa"/>
            <w:shd w:val="clear" w:color="auto" w:fill="auto"/>
            <w:vAlign w:val="center"/>
          </w:tcPr>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发生一次中毒事件扣6分；发生后未按要求进行应急处理或隐瞒不报的扣6分/次；如因公司原因造成重大损失或两个月内连续发生两起中毒事件的，医院有权单方无条件终止合同。</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Align w:val="center"/>
          </w:tcPr>
          <w:p>
            <w:pPr>
              <w:widowControl/>
              <w:jc w:val="center"/>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四、劳动纪律(4分)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所有员工应身心健康（有体检，无传染性疾病、无违法犯罪记录），持《健康证》并经培训合格后方可上岗。工作时间应穿戴整洁，遵守医院各项规章制度，积极主动为患者提供服务，服务态度好，不得无故与医务人员发生争执；在岗时不得看书、看报、放听收音机、玩手机、窜岗、聚集聊天、睡觉、办私事、滋事、酗酒、聚众斗殴或赌博、盗窃、侵占或故意毁坏医院财物、刁难群众、敲诈勒索等违法行为。应积极配合医院做好参观、检查、视查等的接待工作。</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4</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如有违反，视情节轻重，扣0.5-5分/次或依法追究法律责任；情节严重的，相关人员必须在一周内无条件调离本院。如果检查发现员工无健康证的，应在及时办理，如果无不正当理由不按要求办理的，扣罚服务质量1分/人，采购人保留换人的权利。</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63" w:type="dxa"/>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五、食品采购(5分)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①具有购物发票、收据、采购清单等凭证备查；②具备供应商的相关资质证明（包括营业执照、食品生产许可证、食品流通证等）及产品合格证明（食品检验合格证、报告单、畜禽肉类的兽医卫生检验疫合格证等）；③具有进货台账，如实记录产品名称、规格、数量、生产批号、保质期、供货者名称及联系方式、进货日期等内容；④不采购国家禁止生产经营的食品添剂、食品原料（包括不能提供检疫合格证明的畜禽肉类；不明动物的器官、组织和腺体；河豚鱼及其制品；死鱼死虾死蟹等）⑤不使用被包装材料、容器、运输工具等污染的食品；</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5</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查阅与核实资料，缺一项扣0.1分，扣完为止。如发现采购或使用国家禁止的食品和原料的，发现一次扣0.2分，并进行200元处罚。</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Align w:val="center"/>
          </w:tcPr>
          <w:p>
            <w:pPr>
              <w:widowControl/>
              <w:jc w:val="center"/>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六、食品贮存(5分)</w:t>
            </w:r>
          </w:p>
        </w:tc>
        <w:tc>
          <w:tcPr>
            <w:tcW w:w="5098" w:type="dxa"/>
            <w:shd w:val="clear" w:color="000000" w:fill="FFFFFF"/>
            <w:vAlign w:val="center"/>
          </w:tcPr>
          <w:p>
            <w:pPr>
              <w:widowControl/>
              <w:jc w:val="left"/>
              <w:rPr>
                <w:rFonts w:cs="宋体" w:asciiTheme="majorEastAsia" w:hAnsiTheme="majorEastAsia" w:eastAsiaTheme="majorEastAsia"/>
                <w:bCs/>
                <w:kern w:val="0"/>
                <w:sz w:val="20"/>
                <w:szCs w:val="20"/>
                <w:u w:val="none"/>
              </w:rPr>
            </w:pPr>
            <w:r>
              <w:rPr>
                <w:rFonts w:hint="eastAsia" w:cs="宋体" w:asciiTheme="majorEastAsia" w:hAnsiTheme="majorEastAsia" w:eastAsiaTheme="majorEastAsia"/>
                <w:bCs/>
                <w:kern w:val="0"/>
                <w:sz w:val="20"/>
                <w:szCs w:val="20"/>
                <w:u w:val="none"/>
              </w:rPr>
              <w:t>①储存温度达到要求：冷藏（鲜肉、禽类、鱼类和乳制品、拆封后的预包装食品＜5℃；鲜蛋和活的贝类＜7℃；新鲜蔬菜和水果5～7℃）、冷冻（＜-18℃）、常温(10～20℃)；②分类、分区、隔墙、离地10cm以上存放，冷藏和冷冻库应分区存放并具备明显标识；③保证冷库(冰箱)工作状况良好，无积霜，食品不堆积、挤压存放；④冷藏的原料、半成品、成品严格分开，并装入密封的容器中或进行包裹，冰箱外部有存放食品种类的明显标识；⑤生、熟食品容器分开使用，按照熟上生下的原则存放。⑥无包装的食品与调料是否用清洁干净的容器盛装并加盖；⑦库房应设置防鼠板；⑧贮存食品及食品原料的场所、设备不得存放有毒、有害物品及个人生活物品；⑨定期检查库存食品及食品原料，及时清理变质或者超过保质期的食品。</w:t>
            </w:r>
          </w:p>
        </w:tc>
        <w:tc>
          <w:tcPr>
            <w:tcW w:w="690" w:type="dxa"/>
            <w:shd w:val="clear" w:color="000000" w:fill="FFFFFF"/>
            <w:vAlign w:val="center"/>
          </w:tcPr>
          <w:p>
            <w:pPr>
              <w:widowControl/>
              <w:jc w:val="center"/>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5</w:t>
            </w:r>
          </w:p>
        </w:tc>
        <w:tc>
          <w:tcPr>
            <w:tcW w:w="2999" w:type="dxa"/>
            <w:shd w:val="clear" w:color="auto" w:fill="auto"/>
            <w:vAlign w:val="center"/>
          </w:tcPr>
          <w:p>
            <w:pPr>
              <w:widowControl/>
              <w:jc w:val="left"/>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七、食品原料粗加工(5分)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①挑拣：去除腐败变质迹象或其他感官性状异常的食品原料，不加工和使用；②清洗：动物性食品原料、植物性食品原料、水产品原料分池清洗，禽蛋在使用前对外壳进行清洗；③解冻：针对不同体积的食品使用正确的解冻方法，食品无反复解冻、冷冻操作；④食品原料、半成品加工场所与成品加工场所分开；⑤食品原料、半成品的加工中所使用的工具、容器、水池，不用作直接入口食品加工使用；⑥加工食品原料、半成品人员如无特殊原因不参与成品的加工。</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5</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3" w:type="dxa"/>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八、烹调加工(5分)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①不烹饪加工腐败变质或其他感官性状异常、回收后的食品，熟制加工的食品中心温度应不低于75℃，且15秒以上；②烹调加工后的成品与半成品、原料分开存放；③调味料盛放器皿每天清洁，使用后随即加盖；不与地面或污垢接触；④食品再加热前确认食品是否变质，冷冻熟食品应彻底解冻后充分加热，加热食品的中心温度不低于75℃，再加热不要超过一次；⑤添加剂应专人采购、专人保管、专人领用、专人登记、专柜保存，严格按照规定量使用，不使用禁止的食品添加剂；⑥烹调后的熟食品应用消毒后的工具进行分装或整理；用手直接进行操作时先清洗、消毒双手，并且最好戴上清洁的一次性塑料或橡胶手套。⑦凉菜及裱花操作、生食海产品、饮料现榨及水果拼盘制作加工达到专人负责、专室制作、工具专用、消毒专用和冷藏专用的要求。</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5</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63" w:type="dxa"/>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九、售价管理（10分）</w:t>
            </w:r>
          </w:p>
        </w:tc>
        <w:tc>
          <w:tcPr>
            <w:tcW w:w="5098" w:type="dxa"/>
            <w:shd w:val="clear" w:color="000000" w:fill="FFFFFF"/>
            <w:vAlign w:val="center"/>
          </w:tcPr>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①所有的商品必须明码标价进行销售。</w:t>
            </w:r>
          </w:p>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②必须按成本价为职工提供餐饮和按成本价提供医院的公务餐（菜谱应低于市场价的20%）、会议餐、职工包餐、盒饭、院方需要的各类临时性用餐服务。</w:t>
            </w:r>
          </w:p>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③各类特殊治疗膳食，定价不得高于住院患者基本膳食定价的一倍。</w:t>
            </w:r>
          </w:p>
          <w:p>
            <w:pPr>
              <w:pStyle w:val="5"/>
              <w:rPr>
                <w:rFonts w:asciiTheme="majorEastAsia" w:hAnsiTheme="majorEastAsia" w:eastAsiaTheme="majorEastAsia"/>
                <w:sz w:val="22"/>
                <w:szCs w:val="21"/>
                <w:u w:val="none"/>
              </w:rPr>
            </w:pPr>
            <w:r>
              <w:rPr>
                <w:rFonts w:hint="eastAsia" w:asciiTheme="majorEastAsia" w:hAnsiTheme="majorEastAsia" w:eastAsiaTheme="majorEastAsia"/>
                <w:kern w:val="2"/>
                <w:sz w:val="20"/>
                <w:szCs w:val="20"/>
                <w:u w:val="none"/>
              </w:rPr>
              <w:t>④为患者及家属提供的餐饮及为产妇提供的月子餐纯利润不得超过10%，供应给产妇、患者及家属的食品价格不得高于市场价（与中山市内医院食堂的价格进行比较）。</w:t>
            </w:r>
          </w:p>
        </w:tc>
        <w:tc>
          <w:tcPr>
            <w:tcW w:w="690" w:type="dxa"/>
            <w:shd w:val="clear" w:color="000000" w:fill="FFFFFF"/>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10</w:t>
            </w:r>
          </w:p>
        </w:tc>
        <w:tc>
          <w:tcPr>
            <w:tcW w:w="2999" w:type="dxa"/>
            <w:shd w:val="clear" w:color="auto" w:fill="auto"/>
            <w:vAlign w:val="center"/>
          </w:tcPr>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不定期随时抽查，如发现一项不符合要求的或超出定价的，每次扣2分/项，公司应立即对价格进行调整。如复查仍发现同类情况的的，扣减5分/项，并进行处罚100元/项。</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63" w:type="dxa"/>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十、个人卫生(4分)</w:t>
            </w:r>
          </w:p>
        </w:tc>
        <w:tc>
          <w:tcPr>
            <w:tcW w:w="5098" w:type="dxa"/>
            <w:shd w:val="clear" w:color="000000" w:fill="FFFFFF"/>
            <w:vAlign w:val="center"/>
          </w:tcPr>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①加工操作时应穿戴清洁的工作服、工作帽，头发应盘入工作帽内，不得留长指甲或涂指甲油；②加工操作时不得抽烟；③接触直接入口食品之前应洗手或消毒，并规范佩戴口罩；④如手部破损应采取有效防污染措施；⑤对患上呼吸道炎症或口腔疾病的人，要求必须暂时脱离接触直接入口食品的工作，严防对食品的污染。⑥禁止在食品加工过程中嚼口香糖、饮食，非必要时不得互相交谈；⑦严禁随地吐痰、不穿拖鞋、不戴戒指，操作前后及大小便后要洗净双手。</w:t>
            </w:r>
          </w:p>
        </w:tc>
        <w:tc>
          <w:tcPr>
            <w:tcW w:w="690" w:type="dxa"/>
            <w:shd w:val="clear" w:color="000000" w:fill="FFFFFF"/>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4</w:t>
            </w:r>
          </w:p>
        </w:tc>
        <w:tc>
          <w:tcPr>
            <w:tcW w:w="2999" w:type="dxa"/>
            <w:shd w:val="clear" w:color="auto" w:fill="auto"/>
            <w:vAlign w:val="center"/>
          </w:tcPr>
          <w:p>
            <w:pP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不定期突击检查，检查发现一项不达标扣0.5分，公司对员工进行教育再培训，并立即完成整改。如复查仍发现同类情况的的，扣减1分/项，并进行处罚100元/项。</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3" w:type="dxa"/>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十一、备餐配送(4分)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①独立的备餐专间，备餐专间的操作应达到专人负责、专室制作、工具专用、消毒专用和冷藏专用；②盛装菜肴、整理造型的用具容器使用前应进行消毒；不得直接放置于地面、不要堆叠；③食品上加盖，避免食品收到污染；④配送用餐的车厢内、设备应保持清洁；每次运输食品前进行清洗消毒；在运送装卸过程中也应保持清洁；运输后清洗；⑤运输过程中食品的中心温度保持在10℃以下或60℃以上；⑥不供应腐败变质或者其他感官性状异常的食品。</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4</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公司应积极配合，检查发现一项不达标扣0.2分，公司应立即整改，并在7天内完成。如7天后复查发现仍未改进的，扣减0.5分/项，并进行处罚100元/次。如接到有效投诉或检查发现供应腐败变质或者其他感官性状异常的食品，扣减0.5分/项，并进行处罚100元/次，如因食用腐败变质、感官性状异常的食品而导致腹泻或造成其他人身损伤的，公司承担因此造成后果，情节严重的，医院有权单方无条件终止合同。</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十二、清洁与 消毒  (6分)</w:t>
            </w:r>
          </w:p>
        </w:tc>
        <w:tc>
          <w:tcPr>
            <w:tcW w:w="5098" w:type="dxa"/>
            <w:shd w:val="clear" w:color="000000" w:fill="FFFFFF"/>
            <w:vAlign w:val="center"/>
          </w:tcPr>
          <w:p>
            <w:pPr>
              <w:rPr>
                <w:rFonts w:cs="宋体" w:asciiTheme="majorEastAsia" w:hAnsiTheme="majorEastAsia" w:eastAsiaTheme="majorEastAsia"/>
                <w:b/>
                <w:bCs/>
                <w:sz w:val="20"/>
                <w:szCs w:val="20"/>
                <w:u w:val="none"/>
              </w:rPr>
            </w:pPr>
            <w:r>
              <w:rPr>
                <w:rFonts w:hint="eastAsia" w:asciiTheme="majorEastAsia" w:hAnsiTheme="majorEastAsia" w:eastAsiaTheme="majorEastAsia"/>
                <w:b/>
                <w:bCs/>
                <w:sz w:val="20"/>
                <w:szCs w:val="20"/>
                <w:u w:val="none"/>
              </w:rPr>
              <w:t>1.场所的清洁：</w:t>
            </w:r>
            <w:r>
              <w:rPr>
                <w:rFonts w:hint="eastAsia" w:asciiTheme="majorEastAsia" w:hAnsiTheme="majorEastAsia" w:eastAsiaTheme="majorEastAsia"/>
                <w:sz w:val="20"/>
                <w:szCs w:val="20"/>
                <w:u w:val="none"/>
              </w:rPr>
              <w:t>①保持场所干燥清洁，每天运作结束后应及时打扫台面、地面，不留死角，不存放与食品加工无关的物品；②废弃物容器应与加工用容器有明显的区分标识且配有盖子，专间内的废弃物容器盖子为非手动开启式；③废弃物应分类放置，及时清除，做到日产日清。清除后的容器应及时清洗，必要时进行消毒；④提供应与处置单位或个人签订的合同及其经营资质证明文件复印件。</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b/>
                <w:bCs/>
                <w:sz w:val="20"/>
                <w:szCs w:val="20"/>
                <w:u w:val="none"/>
              </w:rPr>
            </w:pPr>
            <w:r>
              <w:rPr>
                <w:rFonts w:hint="eastAsia" w:asciiTheme="majorEastAsia" w:hAnsiTheme="majorEastAsia" w:eastAsiaTheme="majorEastAsia"/>
                <w:b/>
                <w:bCs/>
                <w:sz w:val="20"/>
                <w:szCs w:val="20"/>
                <w:u w:val="none"/>
              </w:rPr>
              <w:t>2.餐具的清洁：</w:t>
            </w:r>
            <w:r>
              <w:rPr>
                <w:rFonts w:hint="eastAsia" w:asciiTheme="majorEastAsia" w:hAnsiTheme="majorEastAsia" w:eastAsiaTheme="majorEastAsia"/>
                <w:sz w:val="20"/>
                <w:szCs w:val="20"/>
                <w:u w:val="none"/>
              </w:rPr>
              <w:t>①餐用具清洗消毒水池应专用，与食品原料、清洁用具及接触非直接入口食品的工具、容器清洗水池分开；清洁后的餐具不得出现残留物与污渍；②抹布应使用浅色布料，不同用途的抹布应区分标记，擦拭直接入口食品接触面的抹布应经过消毒。</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公司应积极配合，检查发现一项不达标扣0.2分，公司应立即整改。如3天后复查发现仍未改进的，扣减0.5分/项，并进行处罚100元/次。如接到一起关于餐用具不干净的有效投诉，扣减0.5分/项，情节严重的，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b/>
                <w:bCs/>
                <w:sz w:val="20"/>
                <w:szCs w:val="20"/>
                <w:u w:val="none"/>
              </w:rPr>
            </w:pPr>
            <w:r>
              <w:rPr>
                <w:rFonts w:hint="eastAsia" w:asciiTheme="majorEastAsia" w:hAnsiTheme="majorEastAsia" w:eastAsiaTheme="majorEastAsia"/>
                <w:b/>
                <w:bCs/>
                <w:sz w:val="20"/>
                <w:szCs w:val="20"/>
                <w:u w:val="none"/>
              </w:rPr>
              <w:t>3.设备、设施的清洁：</w:t>
            </w:r>
            <w:r>
              <w:rPr>
                <w:rFonts w:hint="eastAsia" w:asciiTheme="majorEastAsia" w:hAnsiTheme="majorEastAsia" w:eastAsiaTheme="majorEastAsia"/>
                <w:sz w:val="20"/>
                <w:szCs w:val="20"/>
                <w:u w:val="none"/>
              </w:rPr>
              <w:t>①地面、厨房灶台、踏板洁净，无积水和油污、碎菜；②壁、天花板、门窗、抽油烟机清洁，无蜘蛛网、霉斑或其它明显积垢；③食品加工机械内外保持清洁，无残留物，无异味；④食品加工机械内外保持清洁，无残留物，无异味；⑤烹调用具、刀具要定位、保持清洁，案板挂起或竖放，保持清洁干燥。</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vMerge w:val="restart"/>
            <w:shd w:val="clear" w:color="auto" w:fill="auto"/>
            <w:vAlign w:val="center"/>
          </w:tcPr>
          <w:p>
            <w:pPr>
              <w:widowControl/>
              <w:jc w:val="left"/>
              <w:rPr>
                <w:rFonts w:cs="宋体" w:asciiTheme="majorEastAsia" w:hAnsiTheme="majorEastAsia" w:eastAsiaTheme="majorEastAsia"/>
                <w:kern w:val="0"/>
                <w:sz w:val="20"/>
                <w:szCs w:val="20"/>
                <w:u w:val="none"/>
              </w:rPr>
            </w:pPr>
            <w:r>
              <w:rPr>
                <w:rFonts w:hint="eastAsia" w:cs="宋体" w:asciiTheme="majorEastAsia" w:hAnsiTheme="majorEastAsia" w:eastAsiaTheme="majorEastAsia"/>
                <w:kern w:val="0"/>
                <w:sz w:val="20"/>
                <w:szCs w:val="20"/>
                <w:u w:val="none"/>
              </w:rPr>
              <w:t>每月定期检查，公司应积极配合，检查发现一项不达标扣0.2分，公司应立即整改。如2天后复查发现仍未改进的，扣减0.5分/项，并进行处罚100元/次。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asciiTheme="majorEastAsia" w:hAnsiTheme="majorEastAsia" w:eastAsiaTheme="majorEastAsia"/>
                <w:b/>
                <w:bCs/>
                <w:sz w:val="20"/>
                <w:szCs w:val="20"/>
                <w:u w:val="none"/>
              </w:rPr>
            </w:pPr>
            <w:r>
              <w:rPr>
                <w:rFonts w:hint="eastAsia" w:asciiTheme="majorEastAsia" w:hAnsiTheme="majorEastAsia" w:eastAsiaTheme="majorEastAsia"/>
                <w:b/>
                <w:bCs/>
                <w:sz w:val="20"/>
                <w:szCs w:val="20"/>
                <w:u w:val="none"/>
              </w:rPr>
              <w:t>4.工具的清洁：</w:t>
            </w:r>
            <w:r>
              <w:rPr>
                <w:rFonts w:hint="eastAsia" w:asciiTheme="majorEastAsia" w:hAnsiTheme="majorEastAsia" w:eastAsiaTheme="majorEastAsia"/>
                <w:sz w:val="20"/>
                <w:szCs w:val="20"/>
                <w:u w:val="none"/>
              </w:rPr>
              <w:t>①清洁工具必须无毒无害，标志或者区分明显，做到分开使用、定位存放、用后洗净、保持清洁；②清洁工具由专门的存放场所(区域)；③清洗清洁工具用的水池应与清洗食品、餐具的水池分开设置，清洁工具应在清洗后再采用吊挂等方式自然晾干。</w:t>
            </w:r>
          </w:p>
        </w:tc>
        <w:tc>
          <w:tcPr>
            <w:tcW w:w="690" w:type="dxa"/>
            <w:shd w:val="clear" w:color="000000" w:fill="FFFFFF"/>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vMerge w:val="continue"/>
            <w:shd w:val="clear" w:color="auto" w:fill="auto"/>
            <w:vAlign w:val="center"/>
          </w:tcPr>
          <w:p>
            <w:pPr>
              <w:widowControl/>
              <w:jc w:val="left"/>
              <w:rPr>
                <w:rFonts w:cs="宋体" w:asciiTheme="majorEastAsia" w:hAnsiTheme="majorEastAsia" w:eastAsiaTheme="majorEastAsia"/>
                <w:kern w:val="0"/>
                <w:sz w:val="20"/>
                <w:szCs w:val="20"/>
                <w:u w:val="none"/>
              </w:rPr>
            </w:pP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b/>
                <w:bCs/>
                <w:sz w:val="20"/>
                <w:szCs w:val="20"/>
                <w:u w:val="none"/>
              </w:rPr>
            </w:pPr>
            <w:r>
              <w:rPr>
                <w:rFonts w:hint="eastAsia" w:asciiTheme="majorEastAsia" w:hAnsiTheme="majorEastAsia" w:eastAsiaTheme="majorEastAsia"/>
                <w:b/>
                <w:bCs/>
                <w:sz w:val="20"/>
                <w:szCs w:val="20"/>
                <w:u w:val="none"/>
              </w:rPr>
              <w:t>5.消毒剂、洗涤剂的存放：</w:t>
            </w:r>
            <w:r>
              <w:rPr>
                <w:rFonts w:hint="eastAsia" w:asciiTheme="majorEastAsia" w:hAnsiTheme="majorEastAsia" w:eastAsiaTheme="majorEastAsia"/>
                <w:sz w:val="20"/>
                <w:szCs w:val="20"/>
                <w:u w:val="none"/>
              </w:rPr>
              <w:t>①洗涤剂、消毒剂应存放在专用的设施内，不能与食品、厨房用具或者设备一起存放；②包装上贴有醒目标签和明显的警示标志；明确专人保管，必要时上锁。</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vMerge w:val="continue"/>
            <w:shd w:val="clear" w:color="auto" w:fill="auto"/>
            <w:vAlign w:val="center"/>
          </w:tcPr>
          <w:p>
            <w:pPr>
              <w:widowControl/>
              <w:jc w:val="left"/>
              <w:rPr>
                <w:rFonts w:cs="宋体" w:asciiTheme="majorEastAsia" w:hAnsiTheme="majorEastAsia" w:eastAsiaTheme="majorEastAsia"/>
                <w:kern w:val="0"/>
                <w:sz w:val="20"/>
                <w:szCs w:val="20"/>
                <w:u w:val="none"/>
              </w:rPr>
            </w:pP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63" w:type="dxa"/>
            <w:vMerge w:val="continue"/>
            <w:vAlign w:val="center"/>
          </w:tcPr>
          <w:p>
            <w:pPr>
              <w:widowControl/>
              <w:jc w:val="center"/>
              <w:rPr>
                <w:rFonts w:cs="宋体" w:asciiTheme="majorEastAsia" w:hAnsiTheme="majorEastAsia" w:eastAsiaTheme="majorEastAsia"/>
                <w:kern w:val="0"/>
                <w:sz w:val="20"/>
                <w:szCs w:val="20"/>
                <w:u w:val="none"/>
              </w:rPr>
            </w:pPr>
          </w:p>
        </w:tc>
        <w:tc>
          <w:tcPr>
            <w:tcW w:w="5098" w:type="dxa"/>
            <w:shd w:val="clear" w:color="000000" w:fill="FFFFFF"/>
            <w:vAlign w:val="center"/>
          </w:tcPr>
          <w:p>
            <w:pPr>
              <w:rPr>
                <w:rFonts w:cs="宋体" w:asciiTheme="majorEastAsia" w:hAnsiTheme="majorEastAsia" w:eastAsiaTheme="majorEastAsia"/>
                <w:b/>
                <w:bCs/>
                <w:sz w:val="20"/>
                <w:szCs w:val="20"/>
                <w:u w:val="none"/>
              </w:rPr>
            </w:pPr>
            <w:r>
              <w:rPr>
                <w:rFonts w:hint="eastAsia" w:asciiTheme="majorEastAsia" w:hAnsiTheme="majorEastAsia" w:eastAsiaTheme="majorEastAsia"/>
                <w:b/>
                <w:bCs/>
                <w:sz w:val="20"/>
                <w:szCs w:val="20"/>
                <w:u w:val="none"/>
              </w:rPr>
              <w:t>6.消毒要求：</w:t>
            </w:r>
            <w:r>
              <w:rPr>
                <w:rFonts w:hint="eastAsia" w:asciiTheme="majorEastAsia" w:hAnsiTheme="majorEastAsia" w:eastAsiaTheme="majorEastAsia"/>
                <w:sz w:val="20"/>
                <w:szCs w:val="20"/>
                <w:u w:val="none"/>
              </w:rPr>
              <w:t>①使用消毒剂应符合有关食品安全标准和要求，应定时测量有效消毒浓度；②按照要求使用物理消毒和化学消毒，优先考虑使用热力消毒；③已消毒和未消毒的餐用具应分开存放，存放时应将餐用具的食品接触面向下；④设专供存放消毒后餐用具的保洁设施，其标识明显、其结构应密闭并易于清洁，保洁设施内不得存放其他物品；⑤定期检查清洗消毒设备、设施是否处于良好状态。</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不定期抽查，发现一项不达标扣0.2分，公司应立即整改。如2天后复查发现仍未改进的，扣减0.5分/项，并进行处罚100元/次。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十三、昆虫鼠害控制  (3分)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b/>
                <w:bCs/>
                <w:sz w:val="20"/>
                <w:szCs w:val="20"/>
                <w:u w:val="none"/>
              </w:rPr>
              <w:t>1.基础预防设施：</w:t>
            </w:r>
            <w:r>
              <w:rPr>
                <w:rFonts w:hint="eastAsia" w:asciiTheme="majorEastAsia" w:hAnsiTheme="majorEastAsia" w:eastAsiaTheme="majorEastAsia"/>
                <w:sz w:val="20"/>
                <w:szCs w:val="20"/>
                <w:u w:val="none"/>
              </w:rPr>
              <w:t>①门窗、天花、管口及风口设有易于拆卸清洗且不生锈的防蝇、防虫和防鼠设施；②保持排水沟清洁，避免食物残渣淤积；③防止水龙头滴水。</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1</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每月定期检查，公司应积极配合，检查发现一项不达标扣0.5分，公司应立即整改，对已损坏的部位进行修复。如2天后复查发现仍未改进的，进行处罚100元/次。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 w:type="dxa"/>
            <w:vMerge w:val="continue"/>
            <w:vAlign w:val="center"/>
          </w:tcPr>
          <w:p>
            <w:pPr>
              <w:jc w:val="center"/>
              <w:rPr>
                <w:rFonts w:asciiTheme="majorEastAsia" w:hAnsiTheme="majorEastAsia" w:eastAsiaTheme="majorEastAsia"/>
                <w:sz w:val="20"/>
                <w:szCs w:val="20"/>
                <w:u w:val="none"/>
              </w:rPr>
            </w:pP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b/>
                <w:bCs/>
                <w:sz w:val="20"/>
                <w:szCs w:val="20"/>
                <w:u w:val="none"/>
              </w:rPr>
              <w:t>2.除虫灭害：</w:t>
            </w:r>
            <w:r>
              <w:rPr>
                <w:rFonts w:hint="eastAsia" w:asciiTheme="majorEastAsia" w:hAnsiTheme="majorEastAsia" w:eastAsiaTheme="majorEastAsia"/>
                <w:sz w:val="20"/>
                <w:szCs w:val="20"/>
                <w:u w:val="none"/>
              </w:rPr>
              <w:t>①定期进行除虫灭害，进行虫害器械为首选，器械无效时才使用药物，尽量减少药物对食品和食品加工环境可能的污染；②除虫灭害工作不能在食品加工操作时进行，实施时对各种食品（包括原料）应有保护措施，使用化学药物后，场所内的任何设备、食具及解除食物的表面，均须彻底清洁；③杀虫剂、杀鼠剂及其他有毒有害物品存放均有固定的场所，并且上锁，包装上应有明显的警示标志，设有专人保管；④除虫灭害药物的采购及使用应有详细记录，包括使用人、使用目的、使用及购买时间、配置浓度、使用方法和使用区域、使用量等。使用后应进行复核，并按规定进行存放、保管。</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2</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每月定期检查现场，公司应积极配合，检查发现一项不达标扣0.5分，公司应立即整改。如2天后复查发现仍未改进的，进行处罚100元/次。查阅除虫灭害药物的采购和使用记录，记录不全的缺少一项扣0.5分。</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763" w:type="dxa"/>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十四、食品留样</w:t>
            </w:r>
          </w:p>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(4分)</w:t>
            </w:r>
          </w:p>
        </w:tc>
        <w:tc>
          <w:tcPr>
            <w:tcW w:w="5098" w:type="dxa"/>
            <w:shd w:val="clear" w:color="000000" w:fill="FFFFFF"/>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①每餐次食品成品应留样，每个品种留样量不少于200g；②留样食品应按品种分别盛放于清洗消毒后的密闭专用容器内；③留样食品应放置在专用冷藏设施中，在冷藏条件下存放48小时以上；④每个品种留样必须详细记录留样食品名称、留样量、留样时间、留样人员、审核人员等。</w:t>
            </w:r>
          </w:p>
        </w:tc>
        <w:tc>
          <w:tcPr>
            <w:tcW w:w="690" w:type="dxa"/>
            <w:shd w:val="clear" w:color="000000" w:fill="FFFFFF"/>
            <w:vAlign w:val="center"/>
          </w:tcPr>
          <w:p>
            <w:pPr>
              <w:jc w:val="cente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4</w:t>
            </w:r>
          </w:p>
        </w:tc>
        <w:tc>
          <w:tcPr>
            <w:tcW w:w="2999" w:type="dxa"/>
            <w:shd w:val="clear" w:color="auto" w:fill="auto"/>
            <w:vAlign w:val="center"/>
          </w:tcPr>
          <w:p>
            <w:pPr>
              <w:rPr>
                <w:rFonts w:cs="宋体" w:asciiTheme="majorEastAsia" w:hAnsiTheme="majorEastAsia" w:eastAsiaTheme="majorEastAsia"/>
                <w:sz w:val="20"/>
                <w:szCs w:val="20"/>
                <w:u w:val="none"/>
              </w:rPr>
            </w:pPr>
            <w:r>
              <w:rPr>
                <w:rFonts w:hint="eastAsia" w:asciiTheme="majorEastAsia" w:hAnsiTheme="majorEastAsia" w:eastAsiaTheme="majorEastAsia"/>
                <w:sz w:val="20"/>
                <w:szCs w:val="20"/>
                <w:u w:val="none"/>
              </w:rPr>
              <w:t>不定期抽查，发现一项不达标扣0.5分，公司应立即整改。如2天后复查发现仍未改进的，扣减1分/项，并进行处罚100元/次。</w:t>
            </w:r>
          </w:p>
        </w:tc>
        <w:tc>
          <w:tcPr>
            <w:tcW w:w="641" w:type="dxa"/>
            <w:shd w:val="clear" w:color="auto" w:fill="auto"/>
          </w:tcPr>
          <w:p>
            <w:pPr>
              <w:widowControl/>
              <w:jc w:val="left"/>
              <w:rPr>
                <w:rFonts w:asciiTheme="majorEastAsia" w:hAnsiTheme="majorEastAsia" w:eastAsiaTheme="majorEastAsia"/>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3" w:type="dxa"/>
            <w:vAlign w:val="center"/>
          </w:tcPr>
          <w:p>
            <w:pPr>
              <w:jc w:val="center"/>
              <w:rPr>
                <w:rFonts w:asciiTheme="majorEastAsia" w:hAnsiTheme="majorEastAsia" w:eastAsiaTheme="majorEastAsia"/>
                <w:sz w:val="20"/>
                <w:szCs w:val="20"/>
                <w:u w:val="none"/>
              </w:rPr>
            </w:pPr>
          </w:p>
        </w:tc>
        <w:tc>
          <w:tcPr>
            <w:tcW w:w="5098" w:type="dxa"/>
            <w:shd w:val="clear" w:color="000000" w:fill="FFFFFF"/>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合计</w:t>
            </w:r>
          </w:p>
        </w:tc>
        <w:tc>
          <w:tcPr>
            <w:tcW w:w="690" w:type="dxa"/>
            <w:shd w:val="clear" w:color="000000" w:fill="FFFFFF"/>
            <w:vAlign w:val="center"/>
          </w:tcPr>
          <w:p>
            <w:pPr>
              <w:jc w:val="center"/>
              <w:rPr>
                <w:rFonts w:asciiTheme="majorEastAsia" w:hAnsiTheme="majorEastAsia" w:eastAsiaTheme="majorEastAsia"/>
                <w:sz w:val="20"/>
                <w:szCs w:val="20"/>
                <w:u w:val="none"/>
              </w:rPr>
            </w:pPr>
            <w:r>
              <w:rPr>
                <w:rFonts w:hint="eastAsia" w:asciiTheme="majorEastAsia" w:hAnsiTheme="majorEastAsia" w:eastAsiaTheme="majorEastAsia"/>
                <w:sz w:val="20"/>
                <w:szCs w:val="20"/>
                <w:u w:val="none"/>
              </w:rPr>
              <w:t>100</w:t>
            </w:r>
          </w:p>
        </w:tc>
        <w:tc>
          <w:tcPr>
            <w:tcW w:w="2999" w:type="dxa"/>
            <w:shd w:val="clear" w:color="auto" w:fill="auto"/>
            <w:vAlign w:val="center"/>
          </w:tcPr>
          <w:p>
            <w:pPr>
              <w:rPr>
                <w:rFonts w:asciiTheme="majorEastAsia" w:hAnsiTheme="majorEastAsia" w:eastAsiaTheme="majorEastAsia"/>
                <w:sz w:val="20"/>
                <w:szCs w:val="20"/>
                <w:u w:val="none"/>
              </w:rPr>
            </w:pPr>
          </w:p>
        </w:tc>
        <w:tc>
          <w:tcPr>
            <w:tcW w:w="641" w:type="dxa"/>
            <w:shd w:val="clear" w:color="auto" w:fill="auto"/>
          </w:tcPr>
          <w:p>
            <w:pPr>
              <w:widowControl/>
              <w:jc w:val="left"/>
              <w:rPr>
                <w:rFonts w:asciiTheme="majorEastAsia" w:hAnsiTheme="majorEastAsia" w:eastAsiaTheme="majorEastAsia"/>
                <w:kern w:val="0"/>
                <w:sz w:val="21"/>
                <w:szCs w:val="21"/>
                <w:u w:val="none"/>
              </w:rPr>
            </w:pPr>
          </w:p>
        </w:tc>
      </w:tr>
    </w:tbl>
    <w:p>
      <w:pPr>
        <w:spacing w:afterLines="50" w:line="360" w:lineRule="auto"/>
        <w:rPr>
          <w:rFonts w:ascii="宋体" w:hAnsi="宋体" w:cs="宋体"/>
          <w:b/>
          <w:sz w:val="22"/>
          <w:szCs w:val="22"/>
          <w:u w:val="none"/>
        </w:rPr>
      </w:pPr>
      <w:r>
        <w:rPr>
          <w:rFonts w:ascii="宋体" w:hAnsi="宋体" w:cs="宋体"/>
          <w:b/>
          <w:sz w:val="22"/>
          <w:szCs w:val="22"/>
          <w:u w:val="none"/>
        </w:rPr>
        <w:br w:type="page"/>
      </w:r>
      <w:r>
        <w:rPr>
          <w:rFonts w:hint="eastAsia" w:ascii="宋体" w:hAnsi="宋体" w:cs="宋体"/>
          <w:b/>
          <w:sz w:val="22"/>
          <w:szCs w:val="22"/>
          <w:u w:val="none"/>
        </w:rPr>
        <w:t>八、附图</w:t>
      </w:r>
      <w:r>
        <w:rPr>
          <w:rFonts w:hint="eastAsia" w:ascii="宋体" w:hAnsi="宋体" w:cs="宋体"/>
          <w:sz w:val="22"/>
          <w:szCs w:val="22"/>
          <w:u w:val="none"/>
        </w:rPr>
        <w:t>：食堂一层平面图、食堂二层平面图（参考图）</w:t>
      </w:r>
    </w:p>
    <w:p>
      <w:pPr>
        <w:rPr>
          <w:sz w:val="22"/>
          <w:szCs w:val="28"/>
          <w:u w:val="none"/>
        </w:rPr>
      </w:pPr>
      <w:r>
        <w:rPr>
          <w:rFonts w:hint="eastAsia" w:ascii="宋体" w:hAnsi="宋体"/>
          <w:sz w:val="22"/>
          <w:szCs w:val="28"/>
          <w:u w:val="none"/>
        </w:rPr>
        <w:t>附图一：   食堂一层平面图</w:t>
      </w:r>
    </w:p>
    <w:p>
      <w:pPr>
        <w:spacing w:line="360" w:lineRule="auto"/>
        <w:jc w:val="left"/>
        <w:rPr>
          <w:rFonts w:ascii="宋体" w:hAnsi="宋体"/>
          <w:sz w:val="22"/>
          <w:szCs w:val="28"/>
          <w:u w:val="none"/>
        </w:rPr>
      </w:pPr>
      <w:r>
        <w:rPr>
          <w:rFonts w:hint="eastAsia"/>
          <w:sz w:val="22"/>
          <w:szCs w:val="28"/>
          <w:u w:val="none"/>
        </w:rPr>
        <w:drawing>
          <wp:anchor distT="0" distB="0" distL="114300" distR="114300" simplePos="0" relativeHeight="251660288" behindDoc="1" locked="0" layoutInCell="1" allowOverlap="1">
            <wp:simplePos x="0" y="0"/>
            <wp:positionH relativeFrom="column">
              <wp:posOffset>-245745</wp:posOffset>
            </wp:positionH>
            <wp:positionV relativeFrom="paragraph">
              <wp:posOffset>142240</wp:posOffset>
            </wp:positionV>
            <wp:extent cx="5972175" cy="3308985"/>
            <wp:effectExtent l="0" t="0" r="9525" b="5715"/>
            <wp:wrapThrough wrapText="bothSides">
              <wp:wrapPolygon>
                <wp:start x="0" y="0"/>
                <wp:lineTo x="0" y="21513"/>
                <wp:lineTo x="21566" y="21513"/>
                <wp:lineTo x="21566" y="0"/>
                <wp:lineTo x="0" y="0"/>
              </wp:wrapPolygon>
            </wp:wrapThrough>
            <wp:docPr id="12" name="图片 12" descr="餐饮部一楼平面图-2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餐饮部一楼平面图-2021.9"/>
                    <pic:cNvPicPr>
                      <a:picLocks noChangeAspect="1"/>
                    </pic:cNvPicPr>
                  </pic:nvPicPr>
                  <pic:blipFill>
                    <a:blip r:embed="rId7" cstate="print"/>
                    <a:stretch>
                      <a:fillRect/>
                    </a:stretch>
                  </pic:blipFill>
                  <pic:spPr>
                    <a:xfrm>
                      <a:off x="0" y="0"/>
                      <a:ext cx="5972175" cy="3308985"/>
                    </a:xfrm>
                    <a:prstGeom prst="rect">
                      <a:avLst/>
                    </a:prstGeom>
                  </pic:spPr>
                </pic:pic>
              </a:graphicData>
            </a:graphic>
          </wp:anchor>
        </w:drawing>
      </w:r>
    </w:p>
    <w:p>
      <w:pPr>
        <w:spacing w:line="360" w:lineRule="auto"/>
        <w:rPr>
          <w:rFonts w:hint="eastAsia" w:ascii="宋体" w:hAnsi="宋体"/>
          <w:sz w:val="22"/>
          <w:szCs w:val="32"/>
          <w:u w:val="none"/>
        </w:rPr>
      </w:pPr>
      <w:r>
        <w:rPr>
          <w:rFonts w:hint="eastAsia" w:ascii="宋体" w:hAnsi="宋体"/>
          <w:sz w:val="22"/>
          <w:szCs w:val="32"/>
          <w:u w:val="none"/>
        </w:rPr>
        <w:t>附图二：     食堂二层平面图</w:t>
      </w:r>
    </w:p>
    <w:p>
      <w:pPr>
        <w:pStyle w:val="5"/>
        <w:rPr>
          <w:sz w:val="22"/>
          <w:szCs w:val="21"/>
          <w:u w:val="none"/>
        </w:rPr>
      </w:pPr>
      <w:r>
        <w:rPr>
          <w:sz w:val="22"/>
          <w:szCs w:val="21"/>
          <w:u w:val="none"/>
        </w:rPr>
        <w:drawing>
          <wp:inline distT="0" distB="0" distL="114300" distR="114300">
            <wp:extent cx="5272405" cy="3227705"/>
            <wp:effectExtent l="0" t="0" r="444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2405" cy="3227705"/>
                    </a:xfrm>
                    <a:prstGeom prst="rect">
                      <a:avLst/>
                    </a:prstGeom>
                    <a:noFill/>
                    <a:ln>
                      <a:noFill/>
                    </a:ln>
                  </pic:spPr>
                </pic:pic>
              </a:graphicData>
            </a:graphic>
          </wp:inline>
        </w:drawing>
      </w:r>
    </w:p>
    <w:p>
      <w:pPr>
        <w:spacing w:line="360" w:lineRule="auto"/>
        <w:jc w:val="center"/>
        <w:rPr>
          <w:sz w:val="22"/>
          <w:szCs w:val="28"/>
          <w:u w:val="none"/>
        </w:rPr>
      </w:pPr>
      <w:r>
        <w:rPr>
          <w:sz w:val="22"/>
          <w:szCs w:val="28"/>
          <w:u w:val="none"/>
        </w:rPr>
        <mc:AlternateContent>
          <mc:Choice Requires="wps">
            <w:drawing>
              <wp:anchor distT="0" distB="0" distL="114300" distR="114300" simplePos="0" relativeHeight="251664384" behindDoc="0" locked="0" layoutInCell="1" allowOverlap="1">
                <wp:simplePos x="0" y="0"/>
                <wp:positionH relativeFrom="column">
                  <wp:posOffset>1542415</wp:posOffset>
                </wp:positionH>
                <wp:positionV relativeFrom="paragraph">
                  <wp:posOffset>1646555</wp:posOffset>
                </wp:positionV>
                <wp:extent cx="325120" cy="12700"/>
                <wp:effectExtent l="0" t="4445" r="17780" b="11430"/>
                <wp:wrapNone/>
                <wp:docPr id="1" name="直接连接符 1"/>
                <wp:cNvGraphicFramePr/>
                <a:graphic xmlns:a="http://schemas.openxmlformats.org/drawingml/2006/main">
                  <a:graphicData uri="http://schemas.microsoft.com/office/word/2010/wordprocessingShape">
                    <wps:wsp>
                      <wps:cNvCnPr/>
                      <wps:spPr>
                        <a:xfrm flipV="1">
                          <a:off x="0" y="0"/>
                          <a:ext cx="325120" cy="1270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1.45pt;margin-top:129.65pt;height:1pt;width:25.6pt;z-index:251664384;mso-width-relative:page;mso-height-relative:page;" filled="f" stroked="t" coordsize="21600,21600" o:gfxdata="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AOAbjaAAAACwEAAA8AAAAAAAAAAQAgAAAAIgAA&#10;AGRycy9kb3ducmV2LnhtbFBLAQIUABQAAAAIAIdO4kDT/O0HBgIAAP8DAAAOAAAAAAAAAAEAIAAA&#10;ACkBAABkcnMvZTJvRG9jLnhtbFBLBQYAAAAABgAGAFkBAAChBQAAAAA=&#10;">
                <v:fill on="f" focussize="0,0"/>
                <v:stroke color="#FF0000" joinstyle="round"/>
                <v:imagedata o:title=""/>
                <o:lock v:ext="edit" aspectratio="f"/>
              </v:line>
            </w:pict>
          </mc:Fallback>
        </mc:AlternateContent>
      </w:r>
      <w:r>
        <w:rPr>
          <w:sz w:val="22"/>
          <w:szCs w:val="28"/>
          <w:u w:val="none"/>
        </w:rPr>
        <mc:AlternateContent>
          <mc:Choice Requires="wps">
            <w:drawing>
              <wp:anchor distT="0" distB="0" distL="114300" distR="114300" simplePos="0" relativeHeight="251663360" behindDoc="0" locked="0" layoutInCell="1" allowOverlap="1">
                <wp:simplePos x="0" y="0"/>
                <wp:positionH relativeFrom="column">
                  <wp:posOffset>1859280</wp:posOffset>
                </wp:positionH>
                <wp:positionV relativeFrom="paragraph">
                  <wp:posOffset>1647190</wp:posOffset>
                </wp:positionV>
                <wp:extent cx="635" cy="739140"/>
                <wp:effectExtent l="4445" t="0" r="13970" b="3810"/>
                <wp:wrapNone/>
                <wp:docPr id="5" name="直接连接符 5"/>
                <wp:cNvGraphicFramePr/>
                <a:graphic xmlns:a="http://schemas.openxmlformats.org/drawingml/2006/main">
                  <a:graphicData uri="http://schemas.microsoft.com/office/word/2010/wordprocessingShape">
                    <wps:wsp>
                      <wps:cNvCnPr/>
                      <wps:spPr>
                        <a:xfrm flipV="1">
                          <a:off x="0" y="0"/>
                          <a:ext cx="635" cy="73914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6.4pt;margin-top:129.7pt;height:58.2pt;width:0.05pt;z-index:251663360;mso-width-relative:page;mso-height-relative:page;" filled="f" stroked="t" coordsize="21600,21600" o:gfxdata="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tsVP7bAAAACwEAAA8AAAAAAAAAAQAgAAAAIgAA&#10;AGRycy9kb3ducmV2LnhtbFBLAQIUABQAAAAIAIdO4kBN8+JZBQIAAP0DAAAOAAAAAAAAAAEAIAAA&#10;ACoBAABkcnMvZTJvRG9jLnhtbFBLBQYAAAAABgAGAFkBAAChBQAAAAA=&#10;">
                <v:fill on="f" focussize="0,0"/>
                <v:stroke color="#FF0000" joinstyle="round"/>
                <v:imagedata o:title=""/>
                <o:lock v:ext="edit" aspectratio="f"/>
              </v:line>
            </w:pict>
          </mc:Fallback>
        </mc:AlternateContent>
      </w:r>
      <w:r>
        <w:rPr>
          <w:sz w:val="22"/>
          <w:szCs w:val="28"/>
          <w:u w:val="none"/>
        </w:rPr>
        <mc:AlternateContent>
          <mc:Choice Requires="wps">
            <w:drawing>
              <wp:anchor distT="0" distB="0" distL="114300" distR="114300" simplePos="0" relativeHeight="251662336" behindDoc="0" locked="0" layoutInCell="1" allowOverlap="1">
                <wp:simplePos x="0" y="0"/>
                <wp:positionH relativeFrom="column">
                  <wp:posOffset>1858010</wp:posOffset>
                </wp:positionH>
                <wp:positionV relativeFrom="paragraph">
                  <wp:posOffset>2390775</wp:posOffset>
                </wp:positionV>
                <wp:extent cx="365125" cy="5080"/>
                <wp:effectExtent l="0" t="0" r="0" b="0"/>
                <wp:wrapNone/>
                <wp:docPr id="4" name="直接连接符 4"/>
                <wp:cNvGraphicFramePr/>
                <a:graphic xmlns:a="http://schemas.openxmlformats.org/drawingml/2006/main">
                  <a:graphicData uri="http://schemas.microsoft.com/office/word/2010/wordprocessingShape">
                    <wps:wsp>
                      <wps:cNvCnPr/>
                      <wps:spPr>
                        <a:xfrm flipH="1" flipV="1">
                          <a:off x="0" y="0"/>
                          <a:ext cx="365125" cy="508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146.3pt;margin-top:188.25pt;height:0.4pt;width:28.75pt;z-index:251662336;mso-width-relative:page;mso-height-relative:page;" filled="f" stroked="t" coordsize="21600,21600" o:gfxdata="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2meaHcAAAACwEAAA8AAAAAAAAAAQAg&#10;AAAAIgAAAGRycy9kb3ducmV2LnhtbFBLAQIUABQAAAAIAIdO4kCK4SBzCgIAAAgEAAAOAAAAAAAA&#10;AAEAIAAAACsBAABkcnMvZTJvRG9jLnhtbFBLBQYAAAAABgAGAFkBAACnBQAAAAA=&#10;">
                <v:fill on="f" focussize="0,0"/>
                <v:stroke color="#FF0000" joinstyle="round"/>
                <v:imagedata o:title=""/>
                <o:lock v:ext="edit" aspectratio="f"/>
              </v:line>
            </w:pict>
          </mc:Fallback>
        </mc:AlternateContent>
      </w:r>
      <w:r>
        <w:rPr>
          <w:sz w:val="22"/>
          <w:szCs w:val="28"/>
          <w:u w:val="none"/>
        </w:rPr>
        <mc:AlternateContent>
          <mc:Choice Requires="wps">
            <w:drawing>
              <wp:anchor distT="0" distB="0" distL="114300" distR="114300" simplePos="0" relativeHeight="251661312" behindDoc="0" locked="0" layoutInCell="1" allowOverlap="1">
                <wp:simplePos x="0" y="0"/>
                <wp:positionH relativeFrom="column">
                  <wp:posOffset>1716405</wp:posOffset>
                </wp:positionH>
                <wp:positionV relativeFrom="paragraph">
                  <wp:posOffset>2055495</wp:posOffset>
                </wp:positionV>
                <wp:extent cx="635" cy="508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15pt;margin-top:161.85pt;height:0.4pt;width:0.05pt;z-index:251661312;mso-width-relative:page;mso-height-relative:page;" filled="f" stroked="t" coordsize="21600,21600" o:gfxdata="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zJp72AAAAAsBAAAPAAAAAAAAAAEAIAAAACIAAABkcnMvZG93bnJldi54&#10;bWxQSwECFAAUAAAACACHTuJAM579/voBAADxAwAADgAAAAAAAAABACAAAAAnAQAAZHJzL2Uyb0Rv&#10;Yy54bWxQSwUGAAAAAAYABgBZAQAAkwUAAAAA&#10;">
                <v:fill on="f" focussize="0,0"/>
                <v:stroke color="#000000" joinstyle="round"/>
                <v:imagedata o:title=""/>
                <o:lock v:ext="edit" aspectratio="f"/>
              </v:line>
            </w:pict>
          </mc:Fallback>
        </mc:AlternateContent>
      </w:r>
    </w:p>
    <w:p>
      <w:pPr>
        <w:spacing w:line="360" w:lineRule="auto"/>
        <w:rPr>
          <w:rFonts w:hint="eastAsia" w:ascii="宋体" w:hAnsi="宋体" w:eastAsia="宋体" w:cs="宋体"/>
          <w:b/>
          <w:color w:val="auto"/>
          <w:sz w:val="24"/>
          <w:szCs w:val="24"/>
          <w:highlight w:val="none"/>
          <w:lang w:val="zh-CN"/>
        </w:rPr>
      </w:pPr>
      <w:r>
        <w:rPr>
          <w:rFonts w:hint="eastAsia"/>
          <w:b/>
          <w:bCs/>
          <w:sz w:val="22"/>
          <w:szCs w:val="28"/>
          <w:u w:val="none"/>
        </w:rPr>
        <w:t>备注：具体功能稍有调整的，以现场实际为准。</w:t>
      </w:r>
    </w:p>
    <w:p>
      <w:pPr>
        <w:pStyle w:val="5"/>
        <w:rPr>
          <w:rFonts w:hint="eastAsia" w:ascii="宋体" w:hAnsi="宋体" w:eastAsia="宋体" w:cs="宋体"/>
          <w:b/>
          <w:color w:val="auto"/>
          <w:sz w:val="24"/>
          <w:szCs w:val="24"/>
          <w:highlight w:val="none"/>
          <w:lang w:val="zh-CN"/>
        </w:rPr>
      </w:pPr>
    </w:p>
    <w:p>
      <w:pPr>
        <w:pStyle w:val="6"/>
        <w:rPr>
          <w:rFonts w:hint="eastAsia" w:ascii="宋体" w:hAnsi="宋体" w:eastAsia="宋体" w:cs="宋体"/>
          <w:b/>
          <w:color w:val="auto"/>
          <w:sz w:val="24"/>
          <w:szCs w:val="24"/>
          <w:highlight w:val="none"/>
          <w:lang w:val="zh-CN"/>
        </w:rPr>
      </w:pPr>
    </w:p>
    <w:p>
      <w:pPr>
        <w:pStyle w:val="5"/>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3"/>
        <w:numPr>
          <w:ilvl w:val="0"/>
          <w:numId w:val="10"/>
        </w:numPr>
        <w:bidi w:val="0"/>
        <w:jc w:val="center"/>
        <w:rPr>
          <w:rFonts w:hint="eastAsia"/>
          <w:lang w:val="en-US" w:eastAsia="zh-CN"/>
        </w:rPr>
      </w:pPr>
      <w:bookmarkStart w:id="11" w:name="_Toc32635"/>
      <w:r>
        <w:rPr>
          <w:rFonts w:hint="eastAsia"/>
          <w:lang w:val="en-US" w:eastAsia="zh-CN"/>
        </w:rPr>
        <w:t>评分标准</w:t>
      </w:r>
      <w:bookmarkEnd w:id="11"/>
    </w:p>
    <w:p>
      <w:pPr>
        <w:widowControl w:val="0"/>
        <w:numPr>
          <w:ilvl w:val="0"/>
          <w:numId w:val="0"/>
        </w:numPr>
        <w:jc w:val="both"/>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评分表</w:t>
      </w:r>
    </w:p>
    <w:p>
      <w:pPr>
        <w:spacing w:line="360" w:lineRule="auto"/>
        <w:ind w:left="210"/>
        <w:rPr>
          <w:rFonts w:hint="eastAsia" w:ascii="宋体" w:hAnsi="宋体" w:eastAsia="宋体"/>
          <w:b/>
          <w:sz w:val="28"/>
          <w:szCs w:val="28"/>
          <w:u w:val="none"/>
          <w:lang w:val="en-US" w:eastAsia="zh-CN"/>
        </w:rPr>
      </w:pPr>
      <w:r>
        <w:rPr>
          <w:rFonts w:hint="eastAsia" w:ascii="宋体" w:hAnsi="宋体"/>
          <w:b/>
          <w:sz w:val="28"/>
          <w:szCs w:val="28"/>
          <w:u w:val="none"/>
          <w:lang w:val="en-US" w:eastAsia="zh-CN"/>
        </w:rPr>
        <w:t>分值权重</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numPr>
                <w:ilvl w:val="255"/>
                <w:numId w:val="0"/>
              </w:numPr>
              <w:spacing w:line="360" w:lineRule="auto"/>
              <w:jc w:val="center"/>
              <w:rPr>
                <w:rFonts w:ascii="宋体" w:hAnsi="宋体"/>
                <w:b/>
                <w:sz w:val="22"/>
                <w:szCs w:val="22"/>
                <w:u w:val="none"/>
              </w:rPr>
            </w:pPr>
            <w:r>
              <w:rPr>
                <w:rFonts w:hint="eastAsia" w:ascii="宋体" w:hAnsi="宋体"/>
                <w:b/>
                <w:sz w:val="22"/>
                <w:szCs w:val="22"/>
                <w:u w:val="none"/>
              </w:rPr>
              <w:t>评分内容</w:t>
            </w:r>
          </w:p>
        </w:tc>
        <w:tc>
          <w:tcPr>
            <w:tcW w:w="2132" w:type="dxa"/>
          </w:tcPr>
          <w:p>
            <w:pPr>
              <w:numPr>
                <w:ilvl w:val="255"/>
                <w:numId w:val="0"/>
              </w:numPr>
              <w:spacing w:line="360" w:lineRule="auto"/>
              <w:jc w:val="center"/>
              <w:rPr>
                <w:rFonts w:ascii="宋体" w:hAnsi="宋体"/>
                <w:b/>
                <w:sz w:val="22"/>
                <w:szCs w:val="22"/>
                <w:u w:val="none"/>
              </w:rPr>
            </w:pPr>
            <w:r>
              <w:rPr>
                <w:rFonts w:hint="eastAsia" w:ascii="宋体" w:hAnsi="宋体"/>
                <w:b/>
                <w:sz w:val="22"/>
                <w:szCs w:val="22"/>
                <w:u w:val="none"/>
              </w:rPr>
              <w:t>技术评分</w:t>
            </w:r>
          </w:p>
        </w:tc>
        <w:tc>
          <w:tcPr>
            <w:tcW w:w="2132" w:type="dxa"/>
          </w:tcPr>
          <w:p>
            <w:pPr>
              <w:numPr>
                <w:ilvl w:val="255"/>
                <w:numId w:val="0"/>
              </w:numPr>
              <w:spacing w:line="360" w:lineRule="auto"/>
              <w:jc w:val="center"/>
              <w:rPr>
                <w:rFonts w:ascii="宋体" w:hAnsi="宋体"/>
                <w:b/>
                <w:sz w:val="22"/>
                <w:szCs w:val="22"/>
                <w:highlight w:val="none"/>
                <w:u w:val="none"/>
              </w:rPr>
            </w:pPr>
            <w:r>
              <w:rPr>
                <w:rFonts w:hint="eastAsia" w:ascii="宋体" w:hAnsi="宋体"/>
                <w:b/>
                <w:sz w:val="22"/>
                <w:szCs w:val="22"/>
                <w:highlight w:val="none"/>
                <w:u w:val="none"/>
              </w:rPr>
              <w:t>商务评分</w:t>
            </w:r>
          </w:p>
        </w:tc>
        <w:tc>
          <w:tcPr>
            <w:tcW w:w="2132" w:type="dxa"/>
          </w:tcPr>
          <w:p>
            <w:pPr>
              <w:numPr>
                <w:ilvl w:val="255"/>
                <w:numId w:val="0"/>
              </w:numPr>
              <w:spacing w:line="360" w:lineRule="auto"/>
              <w:jc w:val="center"/>
              <w:rPr>
                <w:rFonts w:ascii="宋体" w:hAnsi="宋体"/>
                <w:b/>
                <w:sz w:val="22"/>
                <w:szCs w:val="22"/>
                <w:highlight w:val="none"/>
                <w:u w:val="none"/>
              </w:rPr>
            </w:pPr>
            <w:r>
              <w:rPr>
                <w:rFonts w:hint="eastAsia" w:ascii="宋体" w:hAnsi="宋体"/>
                <w:b/>
                <w:sz w:val="22"/>
                <w:szCs w:val="22"/>
                <w:highlight w:val="none"/>
                <w:u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numPr>
                <w:ilvl w:val="255"/>
                <w:numId w:val="0"/>
              </w:numPr>
              <w:spacing w:line="360" w:lineRule="auto"/>
              <w:jc w:val="center"/>
              <w:rPr>
                <w:rFonts w:ascii="宋体" w:hAnsi="宋体"/>
                <w:b/>
                <w:sz w:val="22"/>
                <w:szCs w:val="22"/>
                <w:u w:val="none"/>
              </w:rPr>
            </w:pPr>
            <w:r>
              <w:rPr>
                <w:rFonts w:hint="eastAsia" w:ascii="宋体" w:hAnsi="宋体"/>
                <w:b/>
                <w:sz w:val="22"/>
                <w:szCs w:val="22"/>
                <w:u w:val="none"/>
              </w:rPr>
              <w:t>分值</w:t>
            </w:r>
          </w:p>
        </w:tc>
        <w:tc>
          <w:tcPr>
            <w:tcW w:w="2132" w:type="dxa"/>
          </w:tcPr>
          <w:p>
            <w:pPr>
              <w:numPr>
                <w:ilvl w:val="255"/>
                <w:numId w:val="0"/>
              </w:numPr>
              <w:spacing w:line="360" w:lineRule="auto"/>
              <w:jc w:val="center"/>
              <w:rPr>
                <w:rFonts w:ascii="宋体" w:hAnsi="宋体"/>
                <w:b/>
                <w:sz w:val="22"/>
                <w:szCs w:val="22"/>
                <w:u w:val="none"/>
              </w:rPr>
            </w:pPr>
            <w:r>
              <w:rPr>
                <w:rFonts w:hint="eastAsia" w:ascii="宋体" w:hAnsi="宋体"/>
                <w:b/>
                <w:sz w:val="22"/>
                <w:szCs w:val="22"/>
                <w:u w:val="none"/>
              </w:rPr>
              <w:t>60分</w:t>
            </w:r>
          </w:p>
        </w:tc>
        <w:tc>
          <w:tcPr>
            <w:tcW w:w="2132" w:type="dxa"/>
          </w:tcPr>
          <w:p>
            <w:pPr>
              <w:numPr>
                <w:ilvl w:val="255"/>
                <w:numId w:val="0"/>
              </w:numPr>
              <w:spacing w:line="360" w:lineRule="auto"/>
              <w:jc w:val="center"/>
              <w:rPr>
                <w:rFonts w:ascii="宋体" w:hAnsi="宋体"/>
                <w:b/>
                <w:sz w:val="22"/>
                <w:szCs w:val="22"/>
                <w:highlight w:val="none"/>
                <w:u w:val="none"/>
              </w:rPr>
            </w:pPr>
            <w:r>
              <w:rPr>
                <w:rFonts w:hint="eastAsia" w:ascii="宋体" w:hAnsi="宋体"/>
                <w:b/>
                <w:sz w:val="22"/>
                <w:szCs w:val="22"/>
                <w:highlight w:val="none"/>
                <w:u w:val="none"/>
              </w:rPr>
              <w:t>30分</w:t>
            </w:r>
          </w:p>
        </w:tc>
        <w:tc>
          <w:tcPr>
            <w:tcW w:w="2132" w:type="dxa"/>
          </w:tcPr>
          <w:p>
            <w:pPr>
              <w:numPr>
                <w:ilvl w:val="255"/>
                <w:numId w:val="0"/>
              </w:numPr>
              <w:spacing w:line="360" w:lineRule="auto"/>
              <w:jc w:val="center"/>
              <w:rPr>
                <w:rFonts w:ascii="宋体" w:hAnsi="宋体"/>
                <w:b/>
                <w:sz w:val="22"/>
                <w:szCs w:val="22"/>
                <w:highlight w:val="none"/>
                <w:u w:val="none"/>
              </w:rPr>
            </w:pPr>
            <w:r>
              <w:rPr>
                <w:rFonts w:hint="eastAsia" w:ascii="宋体" w:hAnsi="宋体"/>
                <w:b/>
                <w:sz w:val="22"/>
                <w:szCs w:val="22"/>
                <w:highlight w:val="none"/>
                <w:u w:val="none"/>
              </w:rPr>
              <w:t>10分</w:t>
            </w:r>
          </w:p>
        </w:tc>
      </w:tr>
    </w:tbl>
    <w:p>
      <w:pPr>
        <w:numPr>
          <w:ilvl w:val="255"/>
          <w:numId w:val="0"/>
        </w:numPr>
        <w:spacing w:line="360" w:lineRule="auto"/>
        <w:rPr>
          <w:rFonts w:ascii="宋体" w:hAnsi="宋体"/>
          <w:b/>
          <w:sz w:val="22"/>
          <w:szCs w:val="22"/>
          <w:u w:val="none"/>
        </w:rPr>
      </w:pPr>
    </w:p>
    <w:p>
      <w:pPr>
        <w:spacing w:line="360" w:lineRule="auto"/>
        <w:rPr>
          <w:rFonts w:ascii="宋体" w:hAnsi="宋体"/>
          <w:b/>
          <w:sz w:val="22"/>
          <w:szCs w:val="22"/>
          <w:u w:val="none"/>
        </w:rPr>
      </w:pPr>
      <w:r>
        <w:rPr>
          <w:rFonts w:hint="eastAsia" w:ascii="宋体" w:hAnsi="宋体"/>
          <w:b/>
          <w:sz w:val="22"/>
          <w:szCs w:val="22"/>
          <w:u w:val="none"/>
        </w:rPr>
        <w:t>1</w:t>
      </w:r>
      <w:r>
        <w:rPr>
          <w:rFonts w:ascii="宋体" w:hAnsi="宋体"/>
          <w:b/>
          <w:sz w:val="22"/>
          <w:szCs w:val="22"/>
          <w:u w:val="none"/>
        </w:rPr>
        <w:t>.</w:t>
      </w:r>
      <w:r>
        <w:rPr>
          <w:rFonts w:hint="eastAsia" w:ascii="宋体" w:hAnsi="宋体"/>
          <w:b/>
          <w:sz w:val="22"/>
          <w:szCs w:val="22"/>
          <w:u w:val="none"/>
        </w:rPr>
        <w:t>技术评价（60分）：</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55"/>
        <w:gridCol w:w="680"/>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spacing w:line="360" w:lineRule="auto"/>
              <w:jc w:val="center"/>
              <w:rPr>
                <w:rFonts w:ascii="宋体" w:hAnsi="宋体"/>
                <w:b/>
                <w:bCs/>
                <w:sz w:val="20"/>
                <w:szCs w:val="20"/>
                <w:highlight w:val="none"/>
                <w:u w:val="none"/>
              </w:rPr>
            </w:pPr>
            <w:r>
              <w:rPr>
                <w:rFonts w:hint="eastAsia" w:ascii="宋体" w:hAnsi="宋体"/>
                <w:b/>
                <w:bCs/>
                <w:sz w:val="20"/>
                <w:szCs w:val="20"/>
                <w:highlight w:val="none"/>
                <w:u w:val="none"/>
              </w:rPr>
              <w:t>序号</w:t>
            </w:r>
          </w:p>
        </w:tc>
        <w:tc>
          <w:tcPr>
            <w:tcW w:w="1555" w:type="dxa"/>
            <w:vAlign w:val="center"/>
          </w:tcPr>
          <w:p>
            <w:pPr>
              <w:spacing w:line="360" w:lineRule="auto"/>
              <w:jc w:val="center"/>
              <w:rPr>
                <w:rFonts w:ascii="宋体" w:hAnsi="宋体"/>
                <w:b/>
                <w:bCs/>
                <w:sz w:val="20"/>
                <w:szCs w:val="20"/>
                <w:highlight w:val="none"/>
                <w:u w:val="none"/>
              </w:rPr>
            </w:pPr>
            <w:r>
              <w:rPr>
                <w:rFonts w:hint="eastAsia" w:ascii="宋体" w:hAnsi="宋体"/>
                <w:b/>
                <w:bCs/>
                <w:sz w:val="20"/>
                <w:szCs w:val="20"/>
                <w:highlight w:val="none"/>
                <w:u w:val="none"/>
              </w:rPr>
              <w:t>评审内容</w:t>
            </w:r>
          </w:p>
        </w:tc>
        <w:tc>
          <w:tcPr>
            <w:tcW w:w="680" w:type="dxa"/>
            <w:vAlign w:val="center"/>
          </w:tcPr>
          <w:p>
            <w:pPr>
              <w:spacing w:line="360" w:lineRule="auto"/>
              <w:jc w:val="center"/>
              <w:rPr>
                <w:rFonts w:ascii="宋体" w:hAnsi="宋体"/>
                <w:b/>
                <w:bCs/>
                <w:sz w:val="20"/>
                <w:szCs w:val="20"/>
                <w:highlight w:val="none"/>
                <w:u w:val="none"/>
              </w:rPr>
            </w:pPr>
            <w:r>
              <w:rPr>
                <w:rFonts w:hint="eastAsia" w:ascii="宋体" w:hAnsi="宋体"/>
                <w:b/>
                <w:bCs/>
                <w:sz w:val="20"/>
                <w:szCs w:val="20"/>
                <w:highlight w:val="none"/>
                <w:u w:val="none"/>
              </w:rPr>
              <w:t>分值</w:t>
            </w:r>
          </w:p>
        </w:tc>
        <w:tc>
          <w:tcPr>
            <w:tcW w:w="5727" w:type="dxa"/>
            <w:vAlign w:val="center"/>
          </w:tcPr>
          <w:p>
            <w:pPr>
              <w:spacing w:line="360" w:lineRule="auto"/>
              <w:jc w:val="center"/>
              <w:rPr>
                <w:rFonts w:ascii="宋体" w:hAnsi="宋体"/>
                <w:b/>
                <w:bCs/>
                <w:sz w:val="20"/>
                <w:szCs w:val="20"/>
                <w:highlight w:val="none"/>
                <w:u w:val="none"/>
              </w:rPr>
            </w:pPr>
            <w:r>
              <w:rPr>
                <w:rFonts w:hint="eastAsia" w:ascii="宋体" w:hAnsi="宋体"/>
                <w:b/>
                <w:bCs/>
                <w:sz w:val="20"/>
                <w:szCs w:val="20"/>
                <w:highlight w:val="none"/>
                <w:u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2"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1</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采购人需求响应情况</w:t>
            </w: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6</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根据投标人的采购需求响应情况进行评选：</w:t>
            </w:r>
          </w:p>
          <w:p>
            <w:pPr>
              <w:spacing w:line="360" w:lineRule="auto"/>
              <w:rPr>
                <w:rFonts w:ascii="宋体" w:hAnsi="宋体"/>
                <w:sz w:val="20"/>
                <w:szCs w:val="20"/>
                <w:highlight w:val="none"/>
                <w:u w:val="none"/>
              </w:rPr>
            </w:pPr>
            <w:r>
              <w:rPr>
                <w:rFonts w:hint="eastAsia" w:ascii="宋体" w:hAnsi="宋体"/>
                <w:sz w:val="20"/>
                <w:szCs w:val="20"/>
                <w:highlight w:val="none"/>
                <w:u w:val="none"/>
              </w:rPr>
              <w:t>1.完全响应无偏离得6分；</w:t>
            </w:r>
          </w:p>
          <w:p>
            <w:pPr>
              <w:spacing w:line="360" w:lineRule="auto"/>
              <w:rPr>
                <w:rFonts w:ascii="宋体" w:hAnsi="宋体"/>
                <w:sz w:val="20"/>
                <w:szCs w:val="20"/>
                <w:highlight w:val="none"/>
                <w:u w:val="none"/>
              </w:rPr>
            </w:pPr>
            <w:r>
              <w:rPr>
                <w:rFonts w:hint="eastAsia" w:ascii="宋体" w:hAnsi="宋体"/>
                <w:sz w:val="20"/>
                <w:szCs w:val="20"/>
                <w:highlight w:val="none"/>
                <w:u w:val="none"/>
              </w:rPr>
              <w:t>2.部分响应或部分不满足得3分；</w:t>
            </w:r>
          </w:p>
          <w:p>
            <w:pPr>
              <w:spacing w:line="360" w:lineRule="auto"/>
              <w:rPr>
                <w:rFonts w:ascii="宋体" w:hAnsi="宋体"/>
                <w:sz w:val="20"/>
                <w:szCs w:val="20"/>
                <w:highlight w:val="none"/>
                <w:u w:val="none"/>
              </w:rPr>
            </w:pPr>
            <w:r>
              <w:rPr>
                <w:rFonts w:hint="eastAsia" w:ascii="宋体" w:hAnsi="宋体"/>
                <w:sz w:val="20"/>
                <w:szCs w:val="20"/>
                <w:highlight w:val="none"/>
                <w:u w:val="none"/>
              </w:rPr>
              <w:t>3.不响应得0分。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2</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食品安全追溯能力</w:t>
            </w: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4</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1</w:t>
            </w:r>
            <w:r>
              <w:rPr>
                <w:rFonts w:ascii="宋体" w:hAnsi="宋体"/>
                <w:sz w:val="20"/>
                <w:szCs w:val="20"/>
                <w:highlight w:val="none"/>
                <w:u w:val="none"/>
              </w:rPr>
              <w:t>.</w:t>
            </w:r>
            <w:r>
              <w:rPr>
                <w:rFonts w:hint="eastAsia" w:ascii="宋体" w:hAnsi="宋体"/>
                <w:sz w:val="20"/>
                <w:szCs w:val="20"/>
                <w:highlight w:val="none"/>
                <w:u w:val="none"/>
              </w:rPr>
              <w:t>投标人具有食品安全追溯系统（投标人自有），得3分；</w:t>
            </w:r>
          </w:p>
          <w:p>
            <w:pPr>
              <w:spacing w:line="360" w:lineRule="auto"/>
              <w:rPr>
                <w:rFonts w:ascii="宋体" w:hAnsi="宋体"/>
                <w:sz w:val="20"/>
                <w:szCs w:val="20"/>
                <w:highlight w:val="none"/>
                <w:u w:val="none"/>
              </w:rPr>
            </w:pPr>
            <w:r>
              <w:rPr>
                <w:rFonts w:hint="eastAsia" w:ascii="宋体" w:hAnsi="宋体"/>
                <w:sz w:val="20"/>
                <w:szCs w:val="20"/>
                <w:highlight w:val="none"/>
                <w:u w:val="none"/>
              </w:rPr>
              <w:t>2</w:t>
            </w:r>
            <w:r>
              <w:rPr>
                <w:rFonts w:ascii="宋体" w:hAnsi="宋体"/>
                <w:sz w:val="20"/>
                <w:szCs w:val="20"/>
                <w:highlight w:val="none"/>
                <w:u w:val="none"/>
              </w:rPr>
              <w:t>.</w:t>
            </w:r>
            <w:r>
              <w:rPr>
                <w:rFonts w:hint="eastAsia" w:ascii="宋体" w:hAnsi="宋体"/>
                <w:sz w:val="20"/>
                <w:szCs w:val="20"/>
                <w:highlight w:val="none"/>
                <w:u w:val="none"/>
              </w:rPr>
              <w:t>投标人具有食品安全追溯系统（使用第三方系统），得1分；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未提供不得分。</w:t>
            </w:r>
          </w:p>
          <w:p>
            <w:pPr>
              <w:spacing w:line="360" w:lineRule="auto"/>
              <w:rPr>
                <w:rFonts w:ascii="宋体" w:hAnsi="宋体"/>
                <w:sz w:val="20"/>
                <w:szCs w:val="20"/>
                <w:highlight w:val="none"/>
                <w:u w:val="none"/>
              </w:rPr>
            </w:pPr>
            <w:r>
              <w:rPr>
                <w:rFonts w:hint="eastAsia" w:ascii="宋体" w:hAnsi="宋体"/>
                <w:sz w:val="20"/>
                <w:szCs w:val="20"/>
                <w:highlight w:val="none"/>
                <w:u w:val="none"/>
              </w:rPr>
              <w:t>（备注：食品安全追溯系统须提供有效的著作权登记证书复印件、中国版权保护中心著作权登记系统网页查询结果以及溯源系统的系统界面截图，提供以上著作权登记证书原件核查，不提供不得分）。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3</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菜式菜谱</w:t>
            </w:r>
          </w:p>
          <w:p>
            <w:pPr>
              <w:spacing w:line="360" w:lineRule="auto"/>
              <w:rPr>
                <w:rFonts w:ascii="宋体" w:hAnsi="宋体"/>
                <w:sz w:val="20"/>
                <w:szCs w:val="20"/>
                <w:highlight w:val="none"/>
                <w:u w:val="none"/>
              </w:rPr>
            </w:pPr>
            <w:r>
              <w:rPr>
                <w:rFonts w:hint="eastAsia" w:ascii="宋体" w:hAnsi="宋体"/>
                <w:sz w:val="20"/>
                <w:szCs w:val="20"/>
                <w:highlight w:val="none"/>
                <w:u w:val="none"/>
              </w:rPr>
              <w:t>编制能力</w:t>
            </w: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10</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 xml:space="preserve">投标人根据拟实施的供餐模式，以及满足就餐人员口味等要求，提供一周食谱作为参考。                                        </w:t>
            </w:r>
          </w:p>
          <w:p>
            <w:pPr>
              <w:spacing w:line="360" w:lineRule="auto"/>
              <w:rPr>
                <w:rFonts w:ascii="宋体" w:hAnsi="宋体"/>
                <w:sz w:val="20"/>
                <w:szCs w:val="20"/>
                <w:highlight w:val="none"/>
                <w:u w:val="none"/>
              </w:rPr>
            </w:pPr>
            <w:r>
              <w:rPr>
                <w:rFonts w:hint="eastAsia" w:ascii="宋体" w:hAnsi="宋体"/>
                <w:sz w:val="20"/>
                <w:szCs w:val="20"/>
                <w:highlight w:val="none"/>
                <w:u w:val="none"/>
              </w:rPr>
              <w:t>1</w:t>
            </w:r>
            <w:r>
              <w:rPr>
                <w:rFonts w:ascii="宋体" w:hAnsi="宋体"/>
                <w:sz w:val="20"/>
                <w:szCs w:val="20"/>
                <w:highlight w:val="none"/>
                <w:u w:val="none"/>
              </w:rPr>
              <w:t>.</w:t>
            </w:r>
            <w:r>
              <w:rPr>
                <w:rFonts w:hint="eastAsia" w:ascii="宋体" w:hAnsi="宋体"/>
                <w:sz w:val="20"/>
                <w:szCs w:val="20"/>
                <w:highlight w:val="none"/>
                <w:u w:val="none"/>
              </w:rPr>
              <w:t xml:space="preserve">营养搭配均衡，品种多样，优于招标文件要求，优得10分；         </w:t>
            </w:r>
          </w:p>
          <w:p>
            <w:pPr>
              <w:spacing w:line="360" w:lineRule="auto"/>
              <w:rPr>
                <w:rFonts w:ascii="宋体" w:hAnsi="宋体"/>
                <w:sz w:val="20"/>
                <w:szCs w:val="20"/>
                <w:highlight w:val="none"/>
                <w:u w:val="none"/>
              </w:rPr>
            </w:pPr>
            <w:r>
              <w:rPr>
                <w:rFonts w:ascii="宋体" w:hAnsi="宋体"/>
                <w:sz w:val="20"/>
                <w:szCs w:val="20"/>
                <w:highlight w:val="none"/>
                <w:u w:val="none"/>
              </w:rPr>
              <w:t>2.</w:t>
            </w:r>
            <w:r>
              <w:rPr>
                <w:rFonts w:hint="eastAsia" w:ascii="宋体" w:hAnsi="宋体"/>
                <w:sz w:val="20"/>
                <w:szCs w:val="20"/>
                <w:highlight w:val="none"/>
                <w:u w:val="none"/>
              </w:rPr>
              <w:t>营养搭配合理，品种较多样，满足招标文件要求，良得5分；                  3</w:t>
            </w:r>
            <w:r>
              <w:rPr>
                <w:rFonts w:ascii="宋体" w:hAnsi="宋体"/>
                <w:sz w:val="20"/>
                <w:szCs w:val="20"/>
                <w:highlight w:val="none"/>
                <w:u w:val="none"/>
              </w:rPr>
              <w:t>.</w:t>
            </w:r>
            <w:r>
              <w:rPr>
                <w:rFonts w:hint="eastAsia" w:ascii="宋体" w:hAnsi="宋体"/>
                <w:sz w:val="20"/>
                <w:szCs w:val="20"/>
                <w:highlight w:val="none"/>
                <w:u w:val="none"/>
              </w:rPr>
              <w:t>营养搭配一般，品种一般，基本满足招标文件要求，一般得1分；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4</w:t>
            </w:r>
            <w:r>
              <w:rPr>
                <w:rFonts w:ascii="宋体" w:hAnsi="宋体"/>
                <w:sz w:val="20"/>
                <w:szCs w:val="20"/>
                <w:highlight w:val="none"/>
                <w:u w:val="none"/>
              </w:rPr>
              <w:t>.</w:t>
            </w:r>
            <w:r>
              <w:rPr>
                <w:rFonts w:hint="eastAsia" w:ascii="宋体" w:hAnsi="宋体"/>
                <w:sz w:val="20"/>
                <w:szCs w:val="20"/>
                <w:highlight w:val="none"/>
                <w:u w:val="none"/>
              </w:rPr>
              <w:t>不提供方案得0分。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4</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物资调配存储能力</w:t>
            </w: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3</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1.投标人具有中央配送仓库或物资配送中心，得1分，</w:t>
            </w:r>
          </w:p>
          <w:p>
            <w:pPr>
              <w:spacing w:line="360" w:lineRule="auto"/>
              <w:rPr>
                <w:rFonts w:ascii="宋体" w:hAnsi="宋体"/>
                <w:sz w:val="20"/>
                <w:szCs w:val="20"/>
                <w:highlight w:val="none"/>
                <w:u w:val="none"/>
              </w:rPr>
            </w:pPr>
            <w:r>
              <w:rPr>
                <w:rFonts w:ascii="宋体" w:hAnsi="宋体"/>
                <w:sz w:val="20"/>
                <w:szCs w:val="20"/>
                <w:highlight w:val="none"/>
                <w:u w:val="none"/>
              </w:rPr>
              <w:t>2.</w:t>
            </w:r>
            <w:r>
              <w:rPr>
                <w:rFonts w:hint="eastAsia" w:ascii="宋体" w:hAnsi="宋体"/>
                <w:sz w:val="20"/>
                <w:szCs w:val="20"/>
                <w:highlight w:val="none"/>
                <w:u w:val="none"/>
              </w:rPr>
              <w:t>投标人中央配送仓库或物资配送中心具有冷藏冷冻区并且设立有农残检测室得2分，本项缺一不得分。</w:t>
            </w:r>
          </w:p>
          <w:p>
            <w:pPr>
              <w:spacing w:line="360" w:lineRule="auto"/>
              <w:rPr>
                <w:rFonts w:ascii="宋体" w:hAnsi="宋体"/>
                <w:sz w:val="20"/>
                <w:szCs w:val="20"/>
                <w:highlight w:val="none"/>
                <w:u w:val="none"/>
              </w:rPr>
            </w:pPr>
            <w:r>
              <w:rPr>
                <w:rFonts w:hint="eastAsia" w:ascii="宋体" w:hAnsi="宋体"/>
                <w:sz w:val="20"/>
                <w:szCs w:val="20"/>
                <w:highlight w:val="none"/>
                <w:u w:val="none"/>
              </w:rPr>
              <w:t>（投标人须提供中央配送仓库或物资配送中心的场地租赁合同或场所产权证明；提供冷藏冷冻库的建设合同或租赁合同及图片证明；提供农药残留检测场所图片及购买农残检测设备发票复印件，无提供不得分，合同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5</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食材卫生安全控制情况</w:t>
            </w: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6</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投标人提供2020年至今的六大原材料（蔬菜、猪肉、鱼类、家禽类、大米、油）的合格检验报告的复印件，报告须体现送检人是投标人。每提供一项得1分，本项最高得6分，无提供不得分。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6</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拟投入本项目的负责人情况</w:t>
            </w:r>
          </w:p>
          <w:p>
            <w:pPr>
              <w:spacing w:line="360" w:lineRule="auto"/>
              <w:rPr>
                <w:rFonts w:ascii="宋体" w:hAnsi="宋体"/>
                <w:sz w:val="20"/>
                <w:szCs w:val="20"/>
                <w:highlight w:val="none"/>
                <w:u w:val="none"/>
              </w:rPr>
            </w:pP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4</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项目负责人具备：</w:t>
            </w:r>
          </w:p>
          <w:p>
            <w:pPr>
              <w:spacing w:line="360" w:lineRule="auto"/>
              <w:rPr>
                <w:rFonts w:ascii="宋体" w:hAnsi="宋体"/>
                <w:sz w:val="20"/>
                <w:szCs w:val="20"/>
                <w:highlight w:val="none"/>
                <w:u w:val="none"/>
              </w:rPr>
            </w:pPr>
            <w:r>
              <w:rPr>
                <w:rFonts w:hint="eastAsia" w:ascii="宋体" w:hAnsi="宋体"/>
                <w:sz w:val="20"/>
                <w:szCs w:val="20"/>
                <w:highlight w:val="none"/>
                <w:u w:val="none"/>
              </w:rPr>
              <w:t>1.具有大专（含大专或）以上学历，得1分；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2、具有餐饮行业高级职业经理人证，得1分；</w:t>
            </w:r>
          </w:p>
          <w:p>
            <w:pPr>
              <w:spacing w:line="360" w:lineRule="auto"/>
              <w:rPr>
                <w:rFonts w:ascii="宋体" w:hAnsi="宋体"/>
                <w:sz w:val="20"/>
                <w:szCs w:val="20"/>
                <w:highlight w:val="none"/>
                <w:u w:val="none"/>
              </w:rPr>
            </w:pPr>
            <w:r>
              <w:rPr>
                <w:rFonts w:ascii="宋体" w:hAnsi="宋体"/>
                <w:sz w:val="20"/>
                <w:szCs w:val="20"/>
                <w:highlight w:val="none"/>
                <w:u w:val="none"/>
              </w:rPr>
              <w:t>3</w:t>
            </w:r>
            <w:r>
              <w:rPr>
                <w:rFonts w:hint="eastAsia" w:ascii="宋体" w:hAnsi="宋体"/>
                <w:sz w:val="20"/>
                <w:szCs w:val="20"/>
                <w:highlight w:val="none"/>
                <w:u w:val="none"/>
              </w:rPr>
              <w:t>、具有高级食品安全管理员证，得1分；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4、具有农产品检验员证，得1分；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注：提供上述项目负责人资料复印件证明及投标截止时间近</w:t>
            </w:r>
            <w:r>
              <w:rPr>
                <w:rFonts w:ascii="宋体" w:hAnsi="宋体"/>
                <w:sz w:val="20"/>
                <w:szCs w:val="20"/>
                <w:highlight w:val="none"/>
                <w:u w:val="none"/>
              </w:rPr>
              <w:t>6</w:t>
            </w:r>
            <w:r>
              <w:rPr>
                <w:rFonts w:hint="eastAsia" w:ascii="宋体" w:hAnsi="宋体"/>
                <w:sz w:val="20"/>
                <w:szCs w:val="20"/>
                <w:highlight w:val="none"/>
                <w:u w:val="none"/>
              </w:rPr>
              <w:t>个月相关社保证明，以上证明材料须同时具备方可得分，缺一不得分，原件核查，未按要求提供不得分。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7</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拟投入本项目的服务团队情况</w:t>
            </w:r>
          </w:p>
          <w:p>
            <w:pPr>
              <w:spacing w:line="360" w:lineRule="auto"/>
              <w:rPr>
                <w:rFonts w:ascii="宋体" w:hAnsi="宋体"/>
                <w:sz w:val="20"/>
                <w:szCs w:val="20"/>
                <w:highlight w:val="none"/>
                <w:u w:val="none"/>
              </w:rPr>
            </w:pPr>
          </w:p>
        </w:tc>
        <w:tc>
          <w:tcPr>
            <w:tcW w:w="680"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5</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服务团队人员具备：</w:t>
            </w:r>
          </w:p>
          <w:p>
            <w:pPr>
              <w:spacing w:line="360" w:lineRule="auto"/>
              <w:rPr>
                <w:rFonts w:ascii="宋体" w:hAnsi="宋体"/>
                <w:sz w:val="20"/>
                <w:szCs w:val="20"/>
                <w:highlight w:val="none"/>
                <w:u w:val="none"/>
              </w:rPr>
            </w:pPr>
            <w:r>
              <w:rPr>
                <w:rFonts w:hint="eastAsia" w:ascii="宋体" w:hAnsi="宋体"/>
                <w:sz w:val="20"/>
                <w:szCs w:val="20"/>
                <w:highlight w:val="none"/>
                <w:u w:val="none"/>
              </w:rPr>
              <w:t>1、具有高级餐饮经营管理师证，得</w:t>
            </w:r>
            <w:r>
              <w:rPr>
                <w:rFonts w:ascii="宋体" w:hAnsi="宋体"/>
                <w:sz w:val="20"/>
                <w:szCs w:val="20"/>
                <w:highlight w:val="none"/>
                <w:u w:val="none"/>
              </w:rPr>
              <w:t>1</w:t>
            </w:r>
            <w:r>
              <w:rPr>
                <w:rFonts w:hint="eastAsia" w:ascii="宋体" w:hAnsi="宋体"/>
                <w:sz w:val="20"/>
                <w:szCs w:val="20"/>
                <w:highlight w:val="none"/>
                <w:u w:val="none"/>
              </w:rPr>
              <w:t>分；</w:t>
            </w:r>
            <w:r>
              <w:rPr>
                <w:rFonts w:ascii="宋体" w:hAnsi="宋体"/>
                <w:sz w:val="20"/>
                <w:szCs w:val="20"/>
                <w:highlight w:val="none"/>
                <w:u w:val="none"/>
              </w:rPr>
              <w:t xml:space="preserve"> </w:t>
            </w:r>
          </w:p>
          <w:p>
            <w:pPr>
              <w:spacing w:line="360" w:lineRule="auto"/>
              <w:rPr>
                <w:rFonts w:ascii="宋体" w:hAnsi="宋体"/>
                <w:sz w:val="20"/>
                <w:szCs w:val="20"/>
                <w:highlight w:val="none"/>
                <w:u w:val="none"/>
              </w:rPr>
            </w:pPr>
            <w:r>
              <w:rPr>
                <w:rFonts w:ascii="宋体" w:hAnsi="宋体"/>
                <w:sz w:val="20"/>
                <w:szCs w:val="20"/>
                <w:highlight w:val="none"/>
                <w:u w:val="none"/>
              </w:rPr>
              <w:t>2</w:t>
            </w:r>
            <w:r>
              <w:rPr>
                <w:rFonts w:hint="eastAsia" w:ascii="宋体" w:hAnsi="宋体"/>
                <w:sz w:val="20"/>
                <w:szCs w:val="20"/>
                <w:highlight w:val="none"/>
                <w:u w:val="none"/>
              </w:rPr>
              <w:t>、具有高级厨师证，得1分；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3、具有三级或以上营养师资格证，得1分；</w:t>
            </w:r>
          </w:p>
          <w:p>
            <w:pPr>
              <w:spacing w:line="360" w:lineRule="auto"/>
              <w:rPr>
                <w:rFonts w:ascii="宋体" w:hAnsi="宋体"/>
                <w:sz w:val="20"/>
                <w:szCs w:val="20"/>
                <w:highlight w:val="none"/>
                <w:u w:val="none"/>
              </w:rPr>
            </w:pPr>
            <w:r>
              <w:rPr>
                <w:rFonts w:ascii="宋体" w:hAnsi="宋体"/>
                <w:sz w:val="20"/>
                <w:szCs w:val="20"/>
                <w:highlight w:val="none"/>
                <w:u w:val="none"/>
              </w:rPr>
              <w:t>4</w:t>
            </w:r>
            <w:r>
              <w:rPr>
                <w:rFonts w:hint="eastAsia" w:ascii="宋体" w:hAnsi="宋体"/>
                <w:sz w:val="20"/>
                <w:szCs w:val="20"/>
                <w:highlight w:val="none"/>
                <w:u w:val="none"/>
              </w:rPr>
              <w:t xml:space="preserve">、具有高级面点师证，得1分； </w:t>
            </w:r>
          </w:p>
          <w:p>
            <w:pPr>
              <w:spacing w:line="360" w:lineRule="auto"/>
              <w:rPr>
                <w:rFonts w:ascii="宋体" w:hAnsi="宋体"/>
                <w:sz w:val="20"/>
                <w:szCs w:val="20"/>
                <w:highlight w:val="none"/>
                <w:u w:val="none"/>
              </w:rPr>
            </w:pPr>
            <w:r>
              <w:rPr>
                <w:rFonts w:ascii="宋体" w:hAnsi="宋体"/>
                <w:sz w:val="20"/>
                <w:szCs w:val="20"/>
                <w:highlight w:val="none"/>
                <w:u w:val="none"/>
              </w:rPr>
              <w:t>5</w:t>
            </w:r>
            <w:r>
              <w:rPr>
                <w:rFonts w:hint="eastAsia" w:ascii="宋体" w:hAnsi="宋体"/>
                <w:sz w:val="20"/>
                <w:szCs w:val="20"/>
                <w:highlight w:val="none"/>
                <w:u w:val="none"/>
              </w:rPr>
              <w:t>、具备营养配餐师证的，得1分 ；</w:t>
            </w:r>
            <w:r>
              <w:rPr>
                <w:rFonts w:ascii="宋体" w:hAnsi="宋体"/>
                <w:sz w:val="20"/>
                <w:szCs w:val="20"/>
                <w:highlight w:val="none"/>
                <w:u w:val="none"/>
              </w:rPr>
              <w:t xml:space="preserve"> </w:t>
            </w:r>
          </w:p>
          <w:p>
            <w:pPr>
              <w:spacing w:line="360" w:lineRule="auto"/>
              <w:rPr>
                <w:rFonts w:ascii="宋体" w:hAnsi="宋体"/>
                <w:sz w:val="20"/>
                <w:szCs w:val="20"/>
                <w:highlight w:val="none"/>
                <w:u w:val="none"/>
              </w:rPr>
            </w:pPr>
            <w:r>
              <w:rPr>
                <w:rFonts w:hint="eastAsia" w:ascii="宋体" w:hAnsi="宋体"/>
                <w:sz w:val="20"/>
                <w:szCs w:val="20"/>
                <w:highlight w:val="none"/>
                <w:u w:val="none"/>
              </w:rPr>
              <w:t>注：提供证明资料，服务团队人员中的人员不包含项目负责人，服务团队人员中同一人具备多个证书不可重复得分。须提供相关证件复印件及投标截止时间近</w:t>
            </w:r>
            <w:r>
              <w:rPr>
                <w:rFonts w:ascii="宋体" w:hAnsi="宋体"/>
                <w:sz w:val="20"/>
                <w:szCs w:val="20"/>
                <w:highlight w:val="none"/>
                <w:u w:val="none"/>
              </w:rPr>
              <w:t>6</w:t>
            </w:r>
            <w:r>
              <w:rPr>
                <w:rFonts w:hint="eastAsia" w:ascii="宋体" w:hAnsi="宋体"/>
                <w:sz w:val="20"/>
                <w:szCs w:val="20"/>
                <w:highlight w:val="none"/>
                <w:u w:val="none"/>
              </w:rPr>
              <w:t>个月相关社保证明，原件核查，未按要求提供不得分。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2" w:type="dxa"/>
            <w:vAlign w:val="center"/>
          </w:tcPr>
          <w:p>
            <w:pPr>
              <w:spacing w:line="360" w:lineRule="auto"/>
              <w:rPr>
                <w:rFonts w:ascii="宋体" w:hAnsi="宋体"/>
                <w:sz w:val="20"/>
                <w:szCs w:val="20"/>
                <w:highlight w:val="none"/>
                <w:u w:val="none"/>
              </w:rPr>
            </w:pPr>
            <w:r>
              <w:rPr>
                <w:rFonts w:ascii="宋体" w:hAnsi="宋体"/>
                <w:sz w:val="20"/>
                <w:szCs w:val="20"/>
                <w:highlight w:val="none"/>
                <w:u w:val="none"/>
              </w:rPr>
              <w:t>8</w:t>
            </w:r>
          </w:p>
        </w:tc>
        <w:tc>
          <w:tcPr>
            <w:tcW w:w="155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智慧点餐</w:t>
            </w:r>
          </w:p>
        </w:tc>
        <w:tc>
          <w:tcPr>
            <w:tcW w:w="68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4</w:t>
            </w:r>
          </w:p>
        </w:tc>
        <w:tc>
          <w:tcPr>
            <w:tcW w:w="5727"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投标人现有在使用的智慧餐饮点餐系统，并承诺中标后可运用到本项目，得4分。（需提供点餐系统合同、正在使用的案例说明、已经使用该系统的医院项目与投标人的合作合同）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2" w:type="dxa"/>
          </w:tcPr>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r>
              <w:rPr>
                <w:rFonts w:ascii="宋体" w:hAnsi="宋体"/>
                <w:sz w:val="20"/>
                <w:szCs w:val="20"/>
                <w:highlight w:val="none"/>
                <w:u w:val="none"/>
              </w:rPr>
              <w:t>9</w:t>
            </w:r>
          </w:p>
        </w:tc>
        <w:tc>
          <w:tcPr>
            <w:tcW w:w="1555" w:type="dxa"/>
          </w:tcPr>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r>
              <w:rPr>
                <w:rFonts w:hint="eastAsia" w:ascii="宋体" w:hAnsi="宋体"/>
                <w:sz w:val="20"/>
                <w:szCs w:val="20"/>
                <w:highlight w:val="none"/>
                <w:u w:val="none"/>
              </w:rPr>
              <w:t>应急预案</w:t>
            </w:r>
          </w:p>
        </w:tc>
        <w:tc>
          <w:tcPr>
            <w:tcW w:w="680" w:type="dxa"/>
          </w:tcPr>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r>
              <w:rPr>
                <w:rFonts w:hint="eastAsia" w:ascii="宋体" w:hAnsi="宋体"/>
                <w:sz w:val="20"/>
                <w:szCs w:val="20"/>
                <w:highlight w:val="none"/>
                <w:u w:val="none"/>
              </w:rPr>
              <w:t>8</w:t>
            </w:r>
          </w:p>
        </w:tc>
        <w:tc>
          <w:tcPr>
            <w:tcW w:w="5727" w:type="dxa"/>
          </w:tcPr>
          <w:p>
            <w:pPr>
              <w:spacing w:line="360" w:lineRule="auto"/>
              <w:rPr>
                <w:rFonts w:ascii="宋体" w:hAnsi="宋体"/>
                <w:sz w:val="20"/>
                <w:szCs w:val="20"/>
                <w:highlight w:val="none"/>
                <w:u w:val="none"/>
              </w:rPr>
            </w:pPr>
            <w:r>
              <w:rPr>
                <w:rFonts w:hint="eastAsia" w:ascii="宋体" w:hAnsi="宋体"/>
                <w:sz w:val="20"/>
                <w:szCs w:val="20"/>
                <w:highlight w:val="none"/>
                <w:u w:val="none"/>
              </w:rPr>
              <w:t xml:space="preserve">投标人应根据本项目中标后投入运营，应对及时解决可能出现的各种突发事故提供一个应急处理预案，对食堂突发事件的应急措施的合理性、科学性及可行性等方面进行比较评分。                            </w:t>
            </w:r>
          </w:p>
          <w:p>
            <w:pPr>
              <w:spacing w:line="360" w:lineRule="auto"/>
              <w:jc w:val="left"/>
              <w:rPr>
                <w:rFonts w:ascii="宋体" w:hAnsi="宋体" w:cs="宋体"/>
                <w:sz w:val="20"/>
                <w:szCs w:val="20"/>
                <w:highlight w:val="none"/>
                <w:u w:val="none"/>
              </w:rPr>
            </w:pPr>
            <w:r>
              <w:rPr>
                <w:rFonts w:hint="eastAsia" w:ascii="宋体" w:hAnsi="宋体" w:cs="宋体"/>
                <w:sz w:val="20"/>
                <w:szCs w:val="20"/>
                <w:highlight w:val="none"/>
                <w:u w:val="none"/>
              </w:rPr>
              <w:t>①方案内容详细合理，可行性强，优得</w:t>
            </w:r>
            <w:r>
              <w:rPr>
                <w:rFonts w:ascii="宋体" w:hAnsi="宋体" w:cs="宋体"/>
                <w:sz w:val="20"/>
                <w:szCs w:val="20"/>
                <w:highlight w:val="none"/>
                <w:u w:val="none"/>
              </w:rPr>
              <w:t>5</w:t>
            </w:r>
            <w:r>
              <w:rPr>
                <w:rFonts w:hint="eastAsia" w:ascii="宋体" w:hAnsi="宋体" w:cs="宋体"/>
                <w:sz w:val="20"/>
                <w:szCs w:val="20"/>
                <w:highlight w:val="none"/>
                <w:u w:val="none"/>
              </w:rPr>
              <w:t xml:space="preserve">分；                             ②方案内容满足项目要求，切实可行，良得3分；                         ③方案内容一般，基本满足招标要求，一般得1分；   </w:t>
            </w:r>
          </w:p>
          <w:p>
            <w:pPr>
              <w:spacing w:line="360" w:lineRule="auto"/>
              <w:rPr>
                <w:rFonts w:ascii="宋体" w:hAnsi="宋体"/>
                <w:sz w:val="20"/>
                <w:szCs w:val="20"/>
                <w:highlight w:val="none"/>
                <w:u w:val="none"/>
              </w:rPr>
            </w:pPr>
            <w:r>
              <w:rPr>
                <w:rFonts w:hint="eastAsia" w:ascii="宋体" w:hAnsi="宋体" w:cs="宋体"/>
                <w:sz w:val="20"/>
                <w:szCs w:val="20"/>
                <w:highlight w:val="none"/>
                <w:u w:val="none"/>
              </w:rPr>
              <w:t>不提供方案得0分。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r>
              <w:rPr>
                <w:rFonts w:hint="eastAsia" w:ascii="宋体" w:hAnsi="宋体"/>
                <w:sz w:val="20"/>
                <w:szCs w:val="20"/>
                <w:highlight w:val="none"/>
                <w:u w:val="none"/>
              </w:rPr>
              <w:t>1</w:t>
            </w:r>
            <w:r>
              <w:rPr>
                <w:rFonts w:ascii="宋体" w:hAnsi="宋体"/>
                <w:sz w:val="20"/>
                <w:szCs w:val="20"/>
                <w:highlight w:val="none"/>
                <w:u w:val="none"/>
              </w:rPr>
              <w:t>0</w:t>
            </w:r>
          </w:p>
        </w:tc>
        <w:tc>
          <w:tcPr>
            <w:tcW w:w="1555" w:type="dxa"/>
          </w:tcPr>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r>
              <w:rPr>
                <w:rFonts w:hint="eastAsia" w:ascii="宋体" w:hAnsi="宋体"/>
                <w:sz w:val="20"/>
                <w:szCs w:val="20"/>
                <w:highlight w:val="none"/>
                <w:u w:val="none"/>
              </w:rPr>
              <w:t>管理方案</w:t>
            </w:r>
          </w:p>
        </w:tc>
        <w:tc>
          <w:tcPr>
            <w:tcW w:w="680" w:type="dxa"/>
          </w:tcPr>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p>
          <w:p>
            <w:pPr>
              <w:spacing w:line="360" w:lineRule="auto"/>
              <w:rPr>
                <w:rFonts w:ascii="宋体" w:hAnsi="宋体"/>
                <w:sz w:val="20"/>
                <w:szCs w:val="20"/>
                <w:highlight w:val="none"/>
                <w:u w:val="none"/>
              </w:rPr>
            </w:pPr>
            <w:r>
              <w:rPr>
                <w:rFonts w:hint="eastAsia" w:ascii="宋体" w:hAnsi="宋体"/>
                <w:sz w:val="20"/>
                <w:szCs w:val="20"/>
                <w:highlight w:val="none"/>
                <w:u w:val="none"/>
              </w:rPr>
              <w:t>10</w:t>
            </w:r>
          </w:p>
        </w:tc>
        <w:tc>
          <w:tcPr>
            <w:tcW w:w="5727" w:type="dxa"/>
          </w:tcPr>
          <w:p>
            <w:pPr>
              <w:spacing w:line="360" w:lineRule="auto"/>
              <w:rPr>
                <w:rFonts w:ascii="宋体" w:hAnsi="宋体"/>
                <w:sz w:val="20"/>
                <w:szCs w:val="20"/>
                <w:highlight w:val="none"/>
                <w:u w:val="none"/>
              </w:rPr>
            </w:pPr>
            <w:r>
              <w:rPr>
                <w:rFonts w:hint="eastAsia" w:ascii="宋体" w:hAnsi="宋体"/>
                <w:sz w:val="20"/>
                <w:szCs w:val="20"/>
                <w:highlight w:val="none"/>
                <w:u w:val="none"/>
              </w:rPr>
              <w:t xml:space="preserve">根据投标人提供的各项制度和工作流程【包括人事管理制度；节能管理措施；岗位职责；人员培训管理；规范操作流程、采购、仓储制度；设备保养书等】对比： </w:t>
            </w:r>
          </w:p>
          <w:p>
            <w:pPr>
              <w:spacing w:line="360" w:lineRule="auto"/>
              <w:rPr>
                <w:rFonts w:ascii="宋体" w:hAnsi="宋体"/>
                <w:sz w:val="20"/>
                <w:szCs w:val="20"/>
                <w:highlight w:val="none"/>
                <w:u w:val="none"/>
              </w:rPr>
            </w:pPr>
            <w:r>
              <w:rPr>
                <w:rFonts w:hint="eastAsia" w:ascii="宋体" w:hAnsi="宋体"/>
                <w:sz w:val="20"/>
                <w:szCs w:val="20"/>
                <w:highlight w:val="none"/>
                <w:u w:val="none"/>
              </w:rPr>
              <w:t>制度和流程完善具体、健全规范、高度有效及科学可行的得10分；</w:t>
            </w:r>
          </w:p>
          <w:p>
            <w:pPr>
              <w:spacing w:line="360" w:lineRule="auto"/>
              <w:rPr>
                <w:rFonts w:ascii="宋体" w:hAnsi="宋体"/>
                <w:sz w:val="20"/>
                <w:szCs w:val="20"/>
                <w:highlight w:val="none"/>
                <w:u w:val="none"/>
              </w:rPr>
            </w:pPr>
            <w:r>
              <w:rPr>
                <w:rFonts w:hint="eastAsia" w:ascii="宋体" w:hAnsi="宋体"/>
                <w:sz w:val="20"/>
                <w:szCs w:val="20"/>
                <w:highlight w:val="none"/>
                <w:u w:val="none"/>
              </w:rPr>
              <w:t>制度和流程较完整、较健全、合理可行性一般的得5分；</w:t>
            </w:r>
          </w:p>
          <w:p>
            <w:pPr>
              <w:spacing w:line="360" w:lineRule="auto"/>
              <w:rPr>
                <w:rFonts w:ascii="宋体" w:hAnsi="宋体"/>
                <w:sz w:val="20"/>
                <w:szCs w:val="20"/>
                <w:highlight w:val="none"/>
                <w:u w:val="none"/>
              </w:rPr>
            </w:pPr>
            <w:r>
              <w:rPr>
                <w:rFonts w:hint="eastAsia" w:ascii="宋体" w:hAnsi="宋体"/>
                <w:sz w:val="20"/>
                <w:szCs w:val="20"/>
                <w:highlight w:val="none"/>
                <w:u w:val="none"/>
              </w:rPr>
              <w:t>制度和流程完整但较简单、可行性较差的得1分，</w:t>
            </w:r>
          </w:p>
          <w:p>
            <w:pPr>
              <w:spacing w:line="360" w:lineRule="auto"/>
              <w:rPr>
                <w:rFonts w:ascii="宋体" w:hAnsi="宋体"/>
                <w:sz w:val="20"/>
                <w:szCs w:val="20"/>
                <w:highlight w:val="none"/>
                <w:u w:val="none"/>
              </w:rPr>
            </w:pPr>
            <w:r>
              <w:rPr>
                <w:rFonts w:hint="eastAsia" w:ascii="宋体" w:hAnsi="宋体"/>
                <w:sz w:val="20"/>
                <w:szCs w:val="20"/>
                <w:highlight w:val="none"/>
                <w:u w:val="none"/>
              </w:rPr>
              <w:t>制度和流程不完整的、没有可行性的得0分。</w:t>
            </w:r>
          </w:p>
        </w:tc>
      </w:tr>
    </w:tbl>
    <w:p>
      <w:pPr>
        <w:spacing w:line="360" w:lineRule="auto"/>
        <w:rPr>
          <w:rFonts w:ascii="宋体" w:hAnsi="宋体"/>
          <w:b/>
          <w:bCs/>
          <w:sz w:val="22"/>
          <w:szCs w:val="22"/>
          <w:u w:val="none"/>
        </w:rPr>
      </w:pPr>
    </w:p>
    <w:p>
      <w:pPr>
        <w:spacing w:line="360" w:lineRule="auto"/>
        <w:rPr>
          <w:rFonts w:ascii="宋体" w:hAnsi="宋体"/>
          <w:b/>
          <w:bCs/>
          <w:sz w:val="22"/>
          <w:szCs w:val="22"/>
          <w:u w:val="none"/>
        </w:rPr>
      </w:pPr>
      <w:r>
        <w:rPr>
          <w:rFonts w:hint="eastAsia" w:ascii="宋体" w:hAnsi="宋体"/>
          <w:b/>
          <w:bCs/>
          <w:sz w:val="22"/>
          <w:szCs w:val="22"/>
          <w:u w:val="none"/>
        </w:rPr>
        <w:t>2.商务评价</w:t>
      </w:r>
      <w:r>
        <w:rPr>
          <w:rFonts w:hint="eastAsia" w:ascii="宋体" w:hAnsi="宋体"/>
          <w:b/>
          <w:bCs/>
          <w:sz w:val="22"/>
          <w:szCs w:val="22"/>
          <w:highlight w:val="none"/>
          <w:u w:val="none"/>
        </w:rPr>
        <w:t>（3</w:t>
      </w:r>
      <w:r>
        <w:rPr>
          <w:rFonts w:hint="eastAsia" w:ascii="宋体" w:hAnsi="宋体"/>
          <w:b/>
          <w:bCs/>
          <w:sz w:val="22"/>
          <w:szCs w:val="22"/>
          <w:highlight w:val="none"/>
          <w:u w:val="none"/>
          <w:lang w:val="en-US" w:eastAsia="zh-CN"/>
        </w:rPr>
        <w:t>0</w:t>
      </w:r>
      <w:r>
        <w:rPr>
          <w:rFonts w:hint="eastAsia" w:ascii="宋体" w:hAnsi="宋体"/>
          <w:b/>
          <w:bCs/>
          <w:sz w:val="22"/>
          <w:szCs w:val="22"/>
          <w:highlight w:val="none"/>
          <w:u w:val="none"/>
        </w:rPr>
        <w:t>分）</w:t>
      </w:r>
      <w:r>
        <w:rPr>
          <w:rFonts w:hint="eastAsia" w:ascii="宋体" w:hAnsi="宋体"/>
          <w:b/>
          <w:bCs/>
          <w:sz w:val="22"/>
          <w:szCs w:val="22"/>
          <w:u w:val="none"/>
        </w:rPr>
        <w:t>：</w:t>
      </w:r>
    </w:p>
    <w:tbl>
      <w:tblPr>
        <w:tblStyle w:val="1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25"/>
        <w:gridCol w:w="70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360" w:lineRule="auto"/>
              <w:jc w:val="center"/>
              <w:rPr>
                <w:rFonts w:ascii="宋体" w:hAnsi="宋体"/>
                <w:sz w:val="20"/>
                <w:szCs w:val="20"/>
                <w:u w:val="none"/>
              </w:rPr>
            </w:pPr>
            <w:r>
              <w:rPr>
                <w:rFonts w:hint="eastAsia" w:ascii="宋体" w:hAnsi="宋体"/>
                <w:b/>
                <w:bCs/>
                <w:sz w:val="20"/>
                <w:szCs w:val="20"/>
                <w:u w:val="none"/>
              </w:rPr>
              <w:t>序号</w:t>
            </w:r>
          </w:p>
        </w:tc>
        <w:tc>
          <w:tcPr>
            <w:tcW w:w="1525" w:type="dxa"/>
            <w:vAlign w:val="center"/>
          </w:tcPr>
          <w:p>
            <w:pPr>
              <w:spacing w:line="360" w:lineRule="auto"/>
              <w:jc w:val="center"/>
              <w:rPr>
                <w:rFonts w:ascii="宋体" w:hAnsi="宋体"/>
                <w:sz w:val="20"/>
                <w:szCs w:val="20"/>
                <w:u w:val="none"/>
              </w:rPr>
            </w:pPr>
            <w:r>
              <w:rPr>
                <w:rFonts w:hint="eastAsia" w:ascii="宋体" w:hAnsi="宋体"/>
                <w:b/>
                <w:bCs/>
                <w:sz w:val="20"/>
                <w:szCs w:val="20"/>
                <w:u w:val="none"/>
              </w:rPr>
              <w:t>评审内容</w:t>
            </w:r>
          </w:p>
        </w:tc>
        <w:tc>
          <w:tcPr>
            <w:tcW w:w="700" w:type="dxa"/>
            <w:vAlign w:val="center"/>
          </w:tcPr>
          <w:p>
            <w:pPr>
              <w:spacing w:line="360" w:lineRule="auto"/>
              <w:jc w:val="center"/>
              <w:rPr>
                <w:rFonts w:ascii="宋体" w:hAnsi="宋体"/>
                <w:b/>
                <w:bCs/>
                <w:sz w:val="20"/>
                <w:szCs w:val="20"/>
                <w:u w:val="none"/>
              </w:rPr>
            </w:pPr>
            <w:r>
              <w:rPr>
                <w:rFonts w:hint="eastAsia" w:ascii="宋体" w:hAnsi="宋体"/>
                <w:b/>
                <w:bCs/>
                <w:sz w:val="20"/>
                <w:szCs w:val="20"/>
                <w:u w:val="none"/>
              </w:rPr>
              <w:t>分值</w:t>
            </w:r>
          </w:p>
        </w:tc>
        <w:tc>
          <w:tcPr>
            <w:tcW w:w="5989" w:type="dxa"/>
            <w:vAlign w:val="center"/>
          </w:tcPr>
          <w:p>
            <w:pPr>
              <w:spacing w:line="360" w:lineRule="auto"/>
              <w:jc w:val="center"/>
              <w:rPr>
                <w:rFonts w:ascii="宋体" w:hAnsi="宋体"/>
                <w:sz w:val="20"/>
                <w:szCs w:val="20"/>
                <w:u w:val="none"/>
              </w:rPr>
            </w:pPr>
            <w:r>
              <w:rPr>
                <w:rFonts w:hint="eastAsia" w:ascii="宋体" w:hAnsi="宋体"/>
                <w:b/>
                <w:bCs/>
                <w:sz w:val="20"/>
                <w:szCs w:val="20"/>
                <w:u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360" w:lineRule="auto"/>
              <w:rPr>
                <w:rFonts w:ascii="宋体" w:hAnsi="宋体"/>
                <w:sz w:val="20"/>
                <w:szCs w:val="20"/>
                <w:u w:val="none"/>
              </w:rPr>
            </w:pPr>
            <w:r>
              <w:rPr>
                <w:rFonts w:hint="eastAsia" w:ascii="宋体" w:hAnsi="宋体"/>
                <w:sz w:val="20"/>
                <w:szCs w:val="20"/>
                <w:u w:val="none"/>
              </w:rPr>
              <w:t>1</w:t>
            </w:r>
          </w:p>
        </w:tc>
        <w:tc>
          <w:tcPr>
            <w:tcW w:w="1525" w:type="dxa"/>
            <w:vAlign w:val="center"/>
          </w:tcPr>
          <w:p>
            <w:pPr>
              <w:spacing w:line="360" w:lineRule="auto"/>
              <w:ind w:firstLine="100" w:firstLineChars="50"/>
              <w:rPr>
                <w:rFonts w:ascii="宋体" w:hAnsi="宋体"/>
                <w:sz w:val="20"/>
                <w:szCs w:val="20"/>
                <w:u w:val="none"/>
              </w:rPr>
            </w:pPr>
            <w:r>
              <w:rPr>
                <w:rFonts w:hint="eastAsia" w:ascii="宋体" w:hAnsi="宋体"/>
                <w:sz w:val="20"/>
                <w:szCs w:val="20"/>
                <w:u w:val="none"/>
              </w:rPr>
              <w:t>资质认证</w:t>
            </w:r>
          </w:p>
        </w:tc>
        <w:tc>
          <w:tcPr>
            <w:tcW w:w="700" w:type="dxa"/>
            <w:vAlign w:val="center"/>
          </w:tcPr>
          <w:p>
            <w:pPr>
              <w:spacing w:line="360" w:lineRule="auto"/>
              <w:rPr>
                <w:rFonts w:ascii="宋体" w:hAnsi="宋体"/>
                <w:sz w:val="20"/>
                <w:szCs w:val="20"/>
                <w:u w:val="none"/>
              </w:rPr>
            </w:pPr>
            <w:r>
              <w:rPr>
                <w:rFonts w:hint="eastAsia" w:ascii="宋体" w:hAnsi="宋体"/>
                <w:sz w:val="20"/>
                <w:szCs w:val="20"/>
                <w:u w:val="none"/>
              </w:rPr>
              <w:t>8</w:t>
            </w:r>
          </w:p>
        </w:tc>
        <w:tc>
          <w:tcPr>
            <w:tcW w:w="5989" w:type="dxa"/>
            <w:vAlign w:val="center"/>
          </w:tcPr>
          <w:p>
            <w:pPr>
              <w:spacing w:line="360" w:lineRule="auto"/>
              <w:rPr>
                <w:rFonts w:ascii="宋体" w:hAnsi="宋体"/>
                <w:sz w:val="20"/>
                <w:szCs w:val="20"/>
                <w:u w:val="none"/>
              </w:rPr>
            </w:pPr>
            <w:r>
              <w:rPr>
                <w:rFonts w:hint="eastAsia" w:ascii="宋体" w:hAnsi="宋体"/>
                <w:sz w:val="20"/>
                <w:szCs w:val="20"/>
                <w:u w:val="none"/>
              </w:rPr>
              <w:t xml:space="preserve">1.投标人具有有效期内的ISO22000食品安全管理体系认证证书得1分； </w:t>
            </w:r>
          </w:p>
          <w:p>
            <w:pPr>
              <w:spacing w:line="360" w:lineRule="auto"/>
              <w:rPr>
                <w:rFonts w:ascii="宋体" w:hAnsi="宋体"/>
                <w:sz w:val="20"/>
                <w:szCs w:val="20"/>
                <w:u w:val="none"/>
              </w:rPr>
            </w:pPr>
            <w:r>
              <w:rPr>
                <w:rFonts w:hint="eastAsia" w:ascii="宋体" w:hAnsi="宋体"/>
                <w:sz w:val="20"/>
                <w:szCs w:val="20"/>
                <w:u w:val="none"/>
              </w:rPr>
              <w:t xml:space="preserve">2.投标人具有有效期内的ISO9001质量管理体系认证证书得1分； </w:t>
            </w:r>
          </w:p>
          <w:p>
            <w:pPr>
              <w:spacing w:line="360" w:lineRule="auto"/>
              <w:rPr>
                <w:rFonts w:ascii="宋体" w:hAnsi="宋体"/>
                <w:sz w:val="20"/>
                <w:szCs w:val="20"/>
                <w:u w:val="none"/>
              </w:rPr>
            </w:pPr>
            <w:r>
              <w:rPr>
                <w:rFonts w:hint="eastAsia" w:ascii="宋体" w:hAnsi="宋体"/>
                <w:sz w:val="20"/>
                <w:szCs w:val="20"/>
                <w:u w:val="none"/>
              </w:rPr>
              <w:t>3.投标人具有有效期内的ISO14001环境管理体系认证证书得1分；</w:t>
            </w:r>
          </w:p>
          <w:p>
            <w:pPr>
              <w:spacing w:line="360" w:lineRule="auto"/>
              <w:rPr>
                <w:rFonts w:ascii="宋体" w:hAnsi="宋体"/>
                <w:sz w:val="20"/>
                <w:szCs w:val="20"/>
                <w:u w:val="none"/>
              </w:rPr>
            </w:pPr>
            <w:r>
              <w:rPr>
                <w:rFonts w:hint="eastAsia" w:ascii="宋体" w:hAnsi="宋体"/>
                <w:sz w:val="20"/>
                <w:szCs w:val="20"/>
                <w:u w:val="none"/>
              </w:rPr>
              <w:t>4.投标人具有有效期内的OHSAS18001职业健康安全管理体系认证证书得1分；</w:t>
            </w:r>
          </w:p>
          <w:p>
            <w:pPr>
              <w:spacing w:line="360" w:lineRule="auto"/>
              <w:rPr>
                <w:rFonts w:ascii="宋体" w:hAnsi="宋体"/>
                <w:sz w:val="20"/>
                <w:szCs w:val="20"/>
                <w:u w:val="none"/>
              </w:rPr>
            </w:pPr>
            <w:r>
              <w:rPr>
                <w:rFonts w:hint="eastAsia" w:ascii="宋体" w:hAnsi="宋体"/>
                <w:sz w:val="20"/>
                <w:szCs w:val="20"/>
                <w:u w:val="none"/>
              </w:rPr>
              <w:t>5.投标人具有“危害分析与关键控制点体系（HACCP）认证证书”得1分；</w:t>
            </w:r>
          </w:p>
          <w:p>
            <w:pPr>
              <w:spacing w:line="360" w:lineRule="auto"/>
              <w:rPr>
                <w:rFonts w:ascii="宋体" w:hAnsi="宋体"/>
                <w:sz w:val="20"/>
                <w:szCs w:val="20"/>
                <w:u w:val="none"/>
              </w:rPr>
            </w:pPr>
            <w:r>
              <w:rPr>
                <w:rFonts w:hint="eastAsia" w:ascii="宋体" w:hAnsi="宋体"/>
                <w:sz w:val="20"/>
                <w:szCs w:val="20"/>
                <w:u w:val="none"/>
              </w:rPr>
              <w:t>6.投标人具有 “供应链安全管理体系认证证书”得</w:t>
            </w:r>
            <w:r>
              <w:rPr>
                <w:rFonts w:ascii="宋体" w:hAnsi="宋体"/>
                <w:sz w:val="20"/>
                <w:szCs w:val="20"/>
                <w:u w:val="none"/>
              </w:rPr>
              <w:t>1</w:t>
            </w:r>
            <w:r>
              <w:rPr>
                <w:rFonts w:hint="eastAsia" w:ascii="宋体" w:hAnsi="宋体"/>
                <w:sz w:val="20"/>
                <w:szCs w:val="20"/>
                <w:u w:val="none"/>
              </w:rPr>
              <w:t>分；</w:t>
            </w:r>
          </w:p>
          <w:p>
            <w:pPr>
              <w:spacing w:line="360" w:lineRule="auto"/>
              <w:rPr>
                <w:rFonts w:ascii="宋体" w:hAnsi="宋体"/>
                <w:sz w:val="20"/>
                <w:szCs w:val="20"/>
                <w:u w:val="none"/>
              </w:rPr>
            </w:pPr>
            <w:r>
              <w:rPr>
                <w:rFonts w:hint="eastAsia" w:ascii="宋体" w:hAnsi="宋体"/>
                <w:sz w:val="20"/>
                <w:szCs w:val="20"/>
                <w:u w:val="none"/>
              </w:rPr>
              <w:t>7.投标人具有“食品服务认证”（认证范围：餐饮配送服务五星级）得1分；</w:t>
            </w:r>
          </w:p>
          <w:p>
            <w:pPr>
              <w:spacing w:line="360" w:lineRule="auto"/>
              <w:rPr>
                <w:rFonts w:ascii="宋体" w:hAnsi="宋体"/>
                <w:sz w:val="20"/>
                <w:szCs w:val="20"/>
                <w:u w:val="none"/>
              </w:rPr>
            </w:pPr>
            <w:r>
              <w:rPr>
                <w:rFonts w:ascii="宋体" w:hAnsi="宋体"/>
                <w:sz w:val="20"/>
                <w:szCs w:val="20"/>
                <w:u w:val="none"/>
              </w:rPr>
              <w:t>8.</w:t>
            </w:r>
            <w:r>
              <w:rPr>
                <w:rFonts w:hint="eastAsia" w:ascii="宋体" w:hAnsi="宋体"/>
                <w:sz w:val="20"/>
                <w:szCs w:val="20"/>
                <w:u w:val="none"/>
              </w:rPr>
              <w:t>投标人具有有效期的“商品售后服务认证”（认证范围：食堂承包、餐饮配送、膳食管理售后服务），得1分。</w:t>
            </w:r>
          </w:p>
          <w:p>
            <w:pPr>
              <w:spacing w:line="360" w:lineRule="auto"/>
              <w:rPr>
                <w:rFonts w:ascii="宋体" w:hAnsi="宋体"/>
                <w:sz w:val="20"/>
                <w:szCs w:val="20"/>
                <w:u w:val="none"/>
              </w:rPr>
            </w:pPr>
            <w:r>
              <w:rPr>
                <w:rFonts w:hint="eastAsia" w:ascii="宋体" w:hAnsi="宋体"/>
                <w:sz w:val="20"/>
                <w:szCs w:val="20"/>
                <w:u w:val="none"/>
              </w:rPr>
              <w:t>（以上全部</w:t>
            </w:r>
            <w:r>
              <w:rPr>
                <w:rFonts w:ascii="宋体" w:hAnsi="宋体"/>
                <w:sz w:val="20"/>
                <w:szCs w:val="20"/>
                <w:u w:val="none"/>
              </w:rPr>
              <w:t>8</w:t>
            </w:r>
            <w:r>
              <w:rPr>
                <w:rFonts w:hint="eastAsia" w:ascii="宋体" w:hAnsi="宋体"/>
                <w:sz w:val="20"/>
                <w:szCs w:val="20"/>
                <w:u w:val="none"/>
              </w:rPr>
              <w:t>项证书需提供有效的证明材料复印件以及全国认证认可信息公示平台查询网页截图加盖公章，原件核查）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360" w:lineRule="auto"/>
              <w:rPr>
                <w:rFonts w:hint="eastAsia" w:ascii="宋体" w:hAnsi="宋体" w:eastAsia="宋体"/>
                <w:sz w:val="20"/>
                <w:szCs w:val="20"/>
                <w:u w:val="none"/>
                <w:lang w:val="en-US" w:eastAsia="zh-CN"/>
              </w:rPr>
            </w:pPr>
            <w:r>
              <w:rPr>
                <w:rFonts w:hint="eastAsia" w:ascii="宋体" w:hAnsi="宋体"/>
                <w:sz w:val="20"/>
                <w:szCs w:val="20"/>
                <w:u w:val="none"/>
                <w:lang w:val="en-US" w:eastAsia="zh-CN"/>
              </w:rPr>
              <w:t>2</w:t>
            </w:r>
          </w:p>
        </w:tc>
        <w:tc>
          <w:tcPr>
            <w:tcW w:w="1525" w:type="dxa"/>
            <w:vAlign w:val="center"/>
          </w:tcPr>
          <w:p>
            <w:pPr>
              <w:spacing w:line="360" w:lineRule="auto"/>
              <w:ind w:firstLine="100" w:firstLineChars="50"/>
              <w:rPr>
                <w:rFonts w:ascii="宋体" w:hAnsi="宋体"/>
                <w:sz w:val="20"/>
                <w:szCs w:val="20"/>
                <w:u w:val="none"/>
              </w:rPr>
            </w:pPr>
            <w:r>
              <w:rPr>
                <w:rFonts w:hint="eastAsia" w:ascii="宋体" w:hAnsi="宋体"/>
                <w:sz w:val="20"/>
                <w:szCs w:val="20"/>
                <w:u w:val="none"/>
              </w:rPr>
              <w:t>企业综合实力</w:t>
            </w:r>
          </w:p>
        </w:tc>
        <w:tc>
          <w:tcPr>
            <w:tcW w:w="700" w:type="dxa"/>
            <w:vAlign w:val="center"/>
          </w:tcPr>
          <w:p>
            <w:pPr>
              <w:spacing w:line="360" w:lineRule="auto"/>
              <w:rPr>
                <w:rFonts w:ascii="宋体" w:hAnsi="宋体"/>
                <w:sz w:val="20"/>
                <w:szCs w:val="20"/>
                <w:u w:val="none"/>
              </w:rPr>
            </w:pPr>
            <w:r>
              <w:rPr>
                <w:rFonts w:hint="eastAsia" w:ascii="宋体" w:hAnsi="宋体"/>
                <w:sz w:val="20"/>
                <w:szCs w:val="20"/>
                <w:u w:val="none"/>
              </w:rPr>
              <w:t>8</w:t>
            </w:r>
          </w:p>
        </w:tc>
        <w:tc>
          <w:tcPr>
            <w:tcW w:w="5989" w:type="dxa"/>
            <w:vAlign w:val="center"/>
          </w:tcPr>
          <w:p>
            <w:pPr>
              <w:spacing w:line="360" w:lineRule="auto"/>
              <w:rPr>
                <w:rFonts w:ascii="宋体" w:hAnsi="宋体"/>
                <w:sz w:val="20"/>
                <w:szCs w:val="20"/>
                <w:u w:val="none"/>
              </w:rPr>
            </w:pPr>
            <w:r>
              <w:rPr>
                <w:rFonts w:hint="eastAsia" w:ascii="宋体" w:hAnsi="宋体"/>
                <w:sz w:val="20"/>
                <w:szCs w:val="20"/>
                <w:u w:val="none"/>
              </w:rPr>
              <w:t>1.投标人2016年以来获得市场监督管理局颁分的“守合同重信用”证书，每获得一个年度得1分，最高得3分（提供相关证书复印件加盖公章，原件核查）</w:t>
            </w:r>
          </w:p>
          <w:p>
            <w:pPr>
              <w:spacing w:line="360" w:lineRule="auto"/>
              <w:rPr>
                <w:rFonts w:ascii="宋体" w:hAnsi="宋体"/>
                <w:sz w:val="20"/>
                <w:szCs w:val="20"/>
                <w:u w:val="none"/>
              </w:rPr>
            </w:pPr>
            <w:r>
              <w:rPr>
                <w:rFonts w:hint="eastAsia" w:ascii="宋体" w:hAnsi="宋体"/>
                <w:sz w:val="20"/>
                <w:szCs w:val="20"/>
                <w:u w:val="none"/>
              </w:rPr>
              <w:t>2.投标人2016年以来每获得一个税务局颁发的企业纳税A级证书，得1分，最高得2分；（提供相关复印件加盖公章）</w:t>
            </w:r>
          </w:p>
          <w:p>
            <w:pPr>
              <w:spacing w:line="360" w:lineRule="auto"/>
              <w:rPr>
                <w:rFonts w:ascii="宋体" w:hAnsi="宋体"/>
                <w:sz w:val="20"/>
                <w:szCs w:val="20"/>
                <w:u w:val="none"/>
              </w:rPr>
            </w:pPr>
            <w:r>
              <w:rPr>
                <w:rFonts w:hint="eastAsia" w:ascii="宋体" w:hAnsi="宋体"/>
                <w:sz w:val="20"/>
                <w:szCs w:val="20"/>
                <w:u w:val="none"/>
              </w:rPr>
              <w:t>3.投标人进驻后协助客户申请的具有食品药品监督管理部门颁发的餐饮服务食品安全等级为A级的得</w:t>
            </w:r>
            <w:r>
              <w:rPr>
                <w:rFonts w:ascii="宋体" w:hAnsi="宋体"/>
                <w:sz w:val="20"/>
                <w:szCs w:val="20"/>
                <w:u w:val="none"/>
              </w:rPr>
              <w:t>3</w:t>
            </w:r>
            <w:r>
              <w:rPr>
                <w:rFonts w:hint="eastAsia" w:ascii="宋体" w:hAnsi="宋体"/>
                <w:sz w:val="20"/>
                <w:szCs w:val="20"/>
                <w:u w:val="none"/>
              </w:rPr>
              <w:t>分，B级的得2分，C级得0分。（必须提供以上由市场监督管理局网站通报审核通过名单截明证明，同时提供由投标人协助客户升A级/B级/C级食堂的书面证明材料，加盖采购方及投标人公章）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360" w:lineRule="auto"/>
              <w:rPr>
                <w:rFonts w:hint="eastAsia" w:ascii="宋体" w:hAnsi="宋体" w:eastAsia="宋体"/>
                <w:sz w:val="20"/>
                <w:szCs w:val="20"/>
                <w:u w:val="none"/>
                <w:lang w:val="en-US" w:eastAsia="zh-CN"/>
              </w:rPr>
            </w:pPr>
            <w:r>
              <w:rPr>
                <w:rFonts w:hint="eastAsia" w:ascii="宋体" w:hAnsi="宋体"/>
                <w:sz w:val="20"/>
                <w:szCs w:val="20"/>
                <w:u w:val="none"/>
                <w:lang w:val="en-US" w:eastAsia="zh-CN"/>
              </w:rPr>
              <w:t>3</w:t>
            </w:r>
          </w:p>
        </w:tc>
        <w:tc>
          <w:tcPr>
            <w:tcW w:w="152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同类项目业绩</w:t>
            </w:r>
          </w:p>
        </w:tc>
        <w:tc>
          <w:tcPr>
            <w:tcW w:w="700" w:type="dxa"/>
            <w:vAlign w:val="center"/>
          </w:tcPr>
          <w:p>
            <w:pPr>
              <w:spacing w:line="360" w:lineRule="auto"/>
              <w:rPr>
                <w:rFonts w:hint="eastAsia" w:ascii="宋体" w:hAnsi="宋体" w:eastAsia="宋体"/>
                <w:sz w:val="20"/>
                <w:szCs w:val="20"/>
                <w:highlight w:val="none"/>
                <w:u w:val="none"/>
                <w:lang w:eastAsia="zh-CN"/>
              </w:rPr>
            </w:pPr>
            <w:r>
              <w:rPr>
                <w:rFonts w:hint="eastAsia" w:ascii="宋体" w:hAnsi="宋体"/>
                <w:sz w:val="20"/>
                <w:szCs w:val="20"/>
                <w:highlight w:val="none"/>
                <w:u w:val="none"/>
                <w:lang w:val="en-US" w:eastAsia="zh-CN"/>
              </w:rPr>
              <w:t>9</w:t>
            </w:r>
          </w:p>
        </w:tc>
        <w:tc>
          <w:tcPr>
            <w:tcW w:w="5989"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根据投标人2</w:t>
            </w:r>
            <w:r>
              <w:rPr>
                <w:rFonts w:ascii="宋体" w:hAnsi="宋体"/>
                <w:sz w:val="20"/>
                <w:szCs w:val="20"/>
                <w:highlight w:val="none"/>
                <w:u w:val="none"/>
              </w:rPr>
              <w:t>018</w:t>
            </w:r>
            <w:r>
              <w:rPr>
                <w:rFonts w:hint="eastAsia" w:ascii="宋体" w:hAnsi="宋体"/>
                <w:sz w:val="20"/>
                <w:szCs w:val="20"/>
                <w:highlight w:val="none"/>
                <w:u w:val="none"/>
              </w:rPr>
              <w:t>年（以合同签订时间为准）至今承接的医院项目进行评分，每提供一份业绩证明得</w:t>
            </w:r>
            <w:r>
              <w:rPr>
                <w:rFonts w:hint="eastAsia" w:ascii="宋体" w:hAnsi="宋体"/>
                <w:sz w:val="20"/>
                <w:szCs w:val="20"/>
                <w:highlight w:val="none"/>
                <w:u w:val="none"/>
                <w:lang w:val="en-US" w:eastAsia="zh-CN"/>
              </w:rPr>
              <w:t>0.5</w:t>
            </w:r>
            <w:r>
              <w:rPr>
                <w:rFonts w:hint="eastAsia" w:ascii="宋体" w:hAnsi="宋体"/>
                <w:sz w:val="20"/>
                <w:szCs w:val="20"/>
                <w:highlight w:val="none"/>
                <w:u w:val="none"/>
              </w:rPr>
              <w:t>分，最高</w:t>
            </w:r>
            <w:r>
              <w:rPr>
                <w:rFonts w:hint="eastAsia" w:ascii="宋体" w:hAnsi="宋体"/>
                <w:sz w:val="20"/>
                <w:szCs w:val="20"/>
                <w:highlight w:val="none"/>
                <w:u w:val="none"/>
                <w:lang w:val="en-US" w:eastAsia="zh-CN"/>
              </w:rPr>
              <w:t>3</w:t>
            </w:r>
            <w:r>
              <w:rPr>
                <w:rFonts w:hint="eastAsia" w:ascii="宋体" w:hAnsi="宋体"/>
                <w:sz w:val="20"/>
                <w:szCs w:val="20"/>
                <w:highlight w:val="none"/>
                <w:u w:val="none"/>
              </w:rPr>
              <w:t>分；有正在服务的三级医院项目或用餐规模达到2</w:t>
            </w:r>
            <w:r>
              <w:rPr>
                <w:rFonts w:ascii="宋体" w:hAnsi="宋体"/>
                <w:sz w:val="20"/>
                <w:szCs w:val="20"/>
                <w:highlight w:val="none"/>
                <w:u w:val="none"/>
              </w:rPr>
              <w:t>000</w:t>
            </w:r>
            <w:r>
              <w:rPr>
                <w:rFonts w:hint="eastAsia" w:ascii="宋体" w:hAnsi="宋体"/>
                <w:sz w:val="20"/>
                <w:szCs w:val="20"/>
                <w:highlight w:val="none"/>
                <w:u w:val="none"/>
              </w:rPr>
              <w:t>（含）人以上的医院项目每服务一家加</w:t>
            </w:r>
            <w:r>
              <w:rPr>
                <w:rFonts w:hint="eastAsia" w:ascii="宋体" w:hAnsi="宋体"/>
                <w:sz w:val="20"/>
                <w:szCs w:val="20"/>
                <w:highlight w:val="none"/>
                <w:u w:val="none"/>
                <w:lang w:val="en-US" w:eastAsia="zh-CN"/>
              </w:rPr>
              <w:t>2</w:t>
            </w:r>
            <w:r>
              <w:rPr>
                <w:rFonts w:hint="eastAsia" w:ascii="宋体" w:hAnsi="宋体"/>
                <w:sz w:val="20"/>
                <w:szCs w:val="20"/>
                <w:highlight w:val="none"/>
                <w:u w:val="none"/>
              </w:rPr>
              <w:t>分，最多加</w:t>
            </w:r>
            <w:r>
              <w:rPr>
                <w:rFonts w:hint="eastAsia" w:ascii="宋体" w:hAnsi="宋体"/>
                <w:sz w:val="20"/>
                <w:szCs w:val="20"/>
                <w:highlight w:val="none"/>
                <w:u w:val="none"/>
                <w:lang w:val="en-US" w:eastAsia="zh-CN"/>
              </w:rPr>
              <w:t>6</w:t>
            </w:r>
            <w:r>
              <w:rPr>
                <w:rFonts w:hint="eastAsia" w:ascii="宋体" w:hAnsi="宋体"/>
                <w:sz w:val="20"/>
                <w:szCs w:val="20"/>
                <w:highlight w:val="none"/>
                <w:u w:val="none"/>
              </w:rPr>
              <w:t>分；本项满分共</w:t>
            </w:r>
            <w:r>
              <w:rPr>
                <w:rFonts w:hint="eastAsia" w:ascii="宋体" w:hAnsi="宋体"/>
                <w:sz w:val="20"/>
                <w:szCs w:val="20"/>
                <w:highlight w:val="none"/>
                <w:u w:val="none"/>
                <w:lang w:val="en-US" w:eastAsia="zh-CN"/>
              </w:rPr>
              <w:t>9</w:t>
            </w:r>
            <w:r>
              <w:rPr>
                <w:rFonts w:hint="eastAsia" w:ascii="宋体" w:hAnsi="宋体"/>
                <w:sz w:val="20"/>
                <w:szCs w:val="20"/>
                <w:highlight w:val="none"/>
                <w:u w:val="none"/>
              </w:rPr>
              <w:t>分。（须提供合同复印件及中标通知书，若合同未体现承包规模的另外提供由甲方出具的书面证明；医院项目如为三级的还必须同时提供中华人民共和国国家健康委员会网站医疗机构数据查询截图作为证明，不提供不得分；提供合同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360" w:lineRule="auto"/>
              <w:rPr>
                <w:rFonts w:hint="eastAsia" w:ascii="宋体" w:hAnsi="宋体" w:eastAsia="宋体"/>
                <w:sz w:val="20"/>
                <w:szCs w:val="20"/>
                <w:u w:val="none"/>
                <w:lang w:val="en-US" w:eastAsia="zh-CN"/>
              </w:rPr>
            </w:pPr>
            <w:r>
              <w:rPr>
                <w:rFonts w:hint="eastAsia" w:ascii="宋体" w:hAnsi="宋体"/>
                <w:sz w:val="20"/>
                <w:szCs w:val="20"/>
                <w:u w:val="none"/>
                <w:lang w:val="en-US" w:eastAsia="zh-CN"/>
              </w:rPr>
              <w:t>4</w:t>
            </w:r>
          </w:p>
        </w:tc>
        <w:tc>
          <w:tcPr>
            <w:tcW w:w="1525"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企业荣誉</w:t>
            </w:r>
          </w:p>
        </w:tc>
        <w:tc>
          <w:tcPr>
            <w:tcW w:w="700"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2</w:t>
            </w:r>
          </w:p>
        </w:tc>
        <w:tc>
          <w:tcPr>
            <w:tcW w:w="5989" w:type="dxa"/>
            <w:vAlign w:val="center"/>
          </w:tcPr>
          <w:p>
            <w:pPr>
              <w:spacing w:line="360" w:lineRule="auto"/>
              <w:rPr>
                <w:rFonts w:ascii="宋体" w:hAnsi="宋体"/>
                <w:sz w:val="20"/>
                <w:szCs w:val="20"/>
                <w:highlight w:val="none"/>
                <w:u w:val="none"/>
              </w:rPr>
            </w:pPr>
            <w:r>
              <w:rPr>
                <w:rFonts w:hint="eastAsia" w:ascii="宋体" w:hAnsi="宋体"/>
                <w:sz w:val="20"/>
                <w:szCs w:val="20"/>
                <w:highlight w:val="none"/>
                <w:u w:val="none"/>
              </w:rPr>
              <w:t>投标人获得食品安全诚信企业，政府采购优秀供应商等荣誉每获得一个得1分；满分得2分。</w:t>
            </w:r>
          </w:p>
          <w:p>
            <w:pPr>
              <w:spacing w:line="360" w:lineRule="auto"/>
              <w:rPr>
                <w:rFonts w:ascii="宋体" w:hAnsi="宋体"/>
                <w:sz w:val="20"/>
                <w:szCs w:val="20"/>
                <w:highlight w:val="none"/>
                <w:u w:val="none"/>
              </w:rPr>
            </w:pPr>
            <w:r>
              <w:rPr>
                <w:rFonts w:hint="eastAsia" w:ascii="宋体" w:hAnsi="宋体"/>
                <w:sz w:val="20"/>
                <w:szCs w:val="20"/>
                <w:highlight w:val="none"/>
                <w:u w:val="none"/>
              </w:rPr>
              <w:t>（投标人须提供证明文件复印件或扫描件并加盖公章，原件核查。）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360" w:lineRule="auto"/>
              <w:rPr>
                <w:rFonts w:hint="eastAsia" w:ascii="宋体" w:hAnsi="宋体" w:eastAsia="宋体"/>
                <w:sz w:val="20"/>
                <w:szCs w:val="20"/>
                <w:u w:val="none"/>
                <w:lang w:val="en-US" w:eastAsia="zh-CN"/>
              </w:rPr>
            </w:pPr>
            <w:r>
              <w:rPr>
                <w:rFonts w:hint="eastAsia" w:ascii="宋体" w:hAnsi="宋体"/>
                <w:sz w:val="20"/>
                <w:szCs w:val="20"/>
                <w:u w:val="none"/>
                <w:lang w:val="en-US" w:eastAsia="zh-CN"/>
              </w:rPr>
              <w:t>5</w:t>
            </w:r>
          </w:p>
        </w:tc>
        <w:tc>
          <w:tcPr>
            <w:tcW w:w="1525" w:type="dxa"/>
            <w:vAlign w:val="center"/>
          </w:tcPr>
          <w:p>
            <w:pPr>
              <w:spacing w:line="360" w:lineRule="auto"/>
              <w:rPr>
                <w:rFonts w:ascii="宋体" w:hAnsi="宋体"/>
                <w:sz w:val="20"/>
                <w:szCs w:val="20"/>
                <w:u w:val="none"/>
              </w:rPr>
            </w:pPr>
            <w:r>
              <w:rPr>
                <w:rFonts w:hint="eastAsia" w:ascii="宋体" w:hAnsi="宋体"/>
                <w:sz w:val="20"/>
                <w:szCs w:val="20"/>
                <w:u w:val="none"/>
              </w:rPr>
              <w:t>企业抗风险能力</w:t>
            </w:r>
          </w:p>
        </w:tc>
        <w:tc>
          <w:tcPr>
            <w:tcW w:w="700" w:type="dxa"/>
            <w:vAlign w:val="center"/>
          </w:tcPr>
          <w:p>
            <w:pPr>
              <w:spacing w:line="360" w:lineRule="auto"/>
              <w:rPr>
                <w:rFonts w:ascii="宋体" w:hAnsi="宋体"/>
                <w:sz w:val="20"/>
                <w:szCs w:val="20"/>
                <w:u w:val="none"/>
              </w:rPr>
            </w:pPr>
            <w:r>
              <w:rPr>
                <w:rFonts w:hint="eastAsia" w:ascii="宋体" w:hAnsi="宋体"/>
                <w:sz w:val="20"/>
                <w:szCs w:val="20"/>
                <w:u w:val="none"/>
              </w:rPr>
              <w:t>3</w:t>
            </w:r>
          </w:p>
        </w:tc>
        <w:tc>
          <w:tcPr>
            <w:tcW w:w="5989" w:type="dxa"/>
            <w:vAlign w:val="center"/>
          </w:tcPr>
          <w:p>
            <w:pPr>
              <w:spacing w:line="360" w:lineRule="auto"/>
              <w:rPr>
                <w:rFonts w:ascii="宋体" w:hAnsi="宋体"/>
                <w:sz w:val="20"/>
                <w:szCs w:val="20"/>
                <w:u w:val="none"/>
              </w:rPr>
            </w:pPr>
            <w:r>
              <w:rPr>
                <w:rFonts w:hint="eastAsia" w:ascii="宋体" w:hAnsi="宋体"/>
                <w:sz w:val="20"/>
                <w:szCs w:val="20"/>
                <w:u w:val="none"/>
              </w:rPr>
              <w:t>投标人提供食品安全责任保险：</w:t>
            </w:r>
          </w:p>
          <w:p>
            <w:pPr>
              <w:spacing w:line="360" w:lineRule="auto"/>
              <w:rPr>
                <w:rFonts w:ascii="宋体" w:hAnsi="宋体"/>
                <w:sz w:val="20"/>
                <w:szCs w:val="20"/>
                <w:u w:val="none"/>
              </w:rPr>
            </w:pPr>
            <w:r>
              <w:rPr>
                <w:rFonts w:hint="eastAsia" w:ascii="宋体" w:hAnsi="宋体"/>
                <w:sz w:val="20"/>
                <w:szCs w:val="20"/>
                <w:u w:val="none"/>
              </w:rPr>
              <w:t>保额</w:t>
            </w:r>
            <w:r>
              <w:rPr>
                <w:rFonts w:ascii="宋体" w:hAnsi="宋体"/>
                <w:sz w:val="20"/>
                <w:szCs w:val="20"/>
                <w:u w:val="none"/>
              </w:rPr>
              <w:t>1000</w:t>
            </w:r>
            <w:r>
              <w:rPr>
                <w:rFonts w:hint="eastAsia" w:ascii="宋体" w:hAnsi="宋体"/>
                <w:sz w:val="20"/>
                <w:szCs w:val="20"/>
                <w:u w:val="none"/>
              </w:rPr>
              <w:t>万元以上(含</w:t>
            </w:r>
            <w:r>
              <w:rPr>
                <w:rFonts w:ascii="宋体" w:hAnsi="宋体"/>
                <w:sz w:val="20"/>
                <w:szCs w:val="20"/>
                <w:u w:val="none"/>
              </w:rPr>
              <w:t>1000</w:t>
            </w:r>
            <w:r>
              <w:rPr>
                <w:rFonts w:hint="eastAsia" w:ascii="宋体" w:hAnsi="宋体"/>
                <w:sz w:val="20"/>
                <w:szCs w:val="20"/>
                <w:u w:val="none"/>
              </w:rPr>
              <w:t>万元)，得3分；</w:t>
            </w:r>
          </w:p>
          <w:p>
            <w:pPr>
              <w:spacing w:line="360" w:lineRule="auto"/>
              <w:rPr>
                <w:rFonts w:ascii="宋体" w:hAnsi="宋体"/>
                <w:sz w:val="20"/>
                <w:szCs w:val="20"/>
                <w:u w:val="none"/>
              </w:rPr>
            </w:pPr>
            <w:r>
              <w:rPr>
                <w:rFonts w:hint="eastAsia" w:ascii="宋体" w:hAnsi="宋体"/>
                <w:sz w:val="20"/>
                <w:szCs w:val="20"/>
                <w:u w:val="none"/>
              </w:rPr>
              <w:t>保额</w:t>
            </w:r>
            <w:r>
              <w:rPr>
                <w:rFonts w:ascii="宋体" w:hAnsi="宋体"/>
                <w:sz w:val="20"/>
                <w:szCs w:val="20"/>
                <w:u w:val="none"/>
              </w:rPr>
              <w:t>500</w:t>
            </w:r>
            <w:r>
              <w:rPr>
                <w:rFonts w:hint="eastAsia" w:ascii="宋体" w:hAnsi="宋体"/>
                <w:sz w:val="20"/>
                <w:szCs w:val="20"/>
                <w:u w:val="none"/>
              </w:rPr>
              <w:t>万(含)以上-</w:t>
            </w:r>
            <w:r>
              <w:rPr>
                <w:rFonts w:ascii="宋体" w:hAnsi="宋体"/>
                <w:sz w:val="20"/>
                <w:szCs w:val="20"/>
                <w:u w:val="none"/>
              </w:rPr>
              <w:t>1000</w:t>
            </w:r>
            <w:r>
              <w:rPr>
                <w:rFonts w:hint="eastAsia" w:ascii="宋体" w:hAnsi="宋体"/>
                <w:sz w:val="20"/>
                <w:szCs w:val="20"/>
                <w:u w:val="none"/>
              </w:rPr>
              <w:t>万元内，得2分；</w:t>
            </w:r>
          </w:p>
          <w:p>
            <w:pPr>
              <w:spacing w:line="360" w:lineRule="auto"/>
              <w:rPr>
                <w:rFonts w:ascii="宋体" w:hAnsi="宋体"/>
                <w:sz w:val="20"/>
                <w:szCs w:val="20"/>
                <w:u w:val="none"/>
              </w:rPr>
            </w:pPr>
            <w:r>
              <w:rPr>
                <w:rFonts w:hint="eastAsia" w:ascii="宋体" w:hAnsi="宋体"/>
                <w:sz w:val="20"/>
                <w:szCs w:val="20"/>
                <w:u w:val="none"/>
              </w:rPr>
              <w:t>保额</w:t>
            </w:r>
            <w:r>
              <w:rPr>
                <w:rFonts w:ascii="宋体" w:hAnsi="宋体"/>
                <w:sz w:val="20"/>
                <w:szCs w:val="20"/>
                <w:u w:val="none"/>
              </w:rPr>
              <w:t>100</w:t>
            </w:r>
            <w:r>
              <w:rPr>
                <w:rFonts w:hint="eastAsia" w:ascii="宋体" w:hAnsi="宋体"/>
                <w:sz w:val="20"/>
                <w:szCs w:val="20"/>
                <w:u w:val="none"/>
              </w:rPr>
              <w:t>万(含)以上-</w:t>
            </w:r>
            <w:r>
              <w:rPr>
                <w:rFonts w:ascii="宋体" w:hAnsi="宋体"/>
                <w:sz w:val="20"/>
                <w:szCs w:val="20"/>
                <w:u w:val="none"/>
              </w:rPr>
              <w:t>500</w:t>
            </w:r>
            <w:r>
              <w:rPr>
                <w:rFonts w:hint="eastAsia" w:ascii="宋体" w:hAnsi="宋体"/>
                <w:sz w:val="20"/>
                <w:szCs w:val="20"/>
                <w:u w:val="none"/>
              </w:rPr>
              <w:t>万元以内，得1分；</w:t>
            </w:r>
          </w:p>
          <w:p>
            <w:pPr>
              <w:spacing w:line="360" w:lineRule="auto"/>
              <w:rPr>
                <w:rFonts w:ascii="宋体" w:hAnsi="宋体"/>
                <w:sz w:val="20"/>
                <w:szCs w:val="20"/>
                <w:u w:val="none"/>
              </w:rPr>
            </w:pPr>
            <w:r>
              <w:rPr>
                <w:rFonts w:hint="eastAsia" w:ascii="宋体" w:hAnsi="宋体"/>
                <w:sz w:val="20"/>
                <w:szCs w:val="20"/>
                <w:u w:val="none"/>
              </w:rPr>
              <w:t>保额</w:t>
            </w:r>
            <w:r>
              <w:rPr>
                <w:rFonts w:ascii="宋体" w:hAnsi="宋体"/>
                <w:sz w:val="20"/>
                <w:szCs w:val="20"/>
                <w:u w:val="none"/>
              </w:rPr>
              <w:t>100</w:t>
            </w:r>
            <w:r>
              <w:rPr>
                <w:rFonts w:hint="eastAsia" w:ascii="宋体" w:hAnsi="宋体"/>
                <w:sz w:val="20"/>
                <w:szCs w:val="20"/>
                <w:u w:val="none"/>
              </w:rPr>
              <w:t>万元以下得0分。</w:t>
            </w:r>
          </w:p>
          <w:p>
            <w:pPr>
              <w:spacing w:line="360" w:lineRule="auto"/>
              <w:rPr>
                <w:rFonts w:ascii="宋体" w:hAnsi="宋体"/>
                <w:sz w:val="20"/>
                <w:szCs w:val="20"/>
                <w:u w:val="none"/>
              </w:rPr>
            </w:pPr>
            <w:r>
              <w:rPr>
                <w:rFonts w:hint="eastAsia" w:ascii="宋体" w:hAnsi="宋体"/>
                <w:sz w:val="20"/>
                <w:szCs w:val="20"/>
                <w:u w:val="none"/>
              </w:rPr>
              <w:t>（注：投标人提供有效期内投标人购买食品安全责任险保单复印件并加盖公章，原件核查。）</w:t>
            </w:r>
          </w:p>
        </w:tc>
      </w:tr>
    </w:tbl>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Style w:val="2"/>
        <w:rPr>
          <w:rFonts w:hint="eastAsia"/>
          <w:sz w:val="22"/>
          <w:szCs w:val="24"/>
          <w:lang w:val="en-US" w:eastAsia="zh-CN"/>
        </w:rPr>
      </w:pPr>
    </w:p>
    <w:p>
      <w:pPr>
        <w:pStyle w:val="2"/>
        <w:rPr>
          <w:rFonts w:hint="eastAsia"/>
          <w:sz w:val="22"/>
          <w:szCs w:val="24"/>
          <w:lang w:val="en-US" w:eastAsia="zh-CN"/>
        </w:rPr>
      </w:pPr>
    </w:p>
    <w:p>
      <w:pPr>
        <w:rPr>
          <w:rFonts w:hint="eastAsia"/>
          <w:sz w:val="22"/>
          <w:szCs w:val="28"/>
        </w:rPr>
        <w:sectPr>
          <w:pgSz w:w="11907" w:h="16840"/>
          <w:pgMar w:top="1418" w:right="1418" w:bottom="1418" w:left="1418" w:header="567" w:footer="748" w:gutter="0"/>
          <w:cols w:space="720" w:num="1"/>
          <w:docGrid w:linePitch="312" w:charSpace="0"/>
        </w:sectPr>
      </w:pPr>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10"/>
        </w:numPr>
        <w:bidi w:val="0"/>
        <w:ind w:left="0" w:leftChars="0" w:firstLine="0" w:firstLineChars="0"/>
        <w:jc w:val="center"/>
        <w:rPr>
          <w:rFonts w:hint="eastAsia"/>
          <w:lang w:val="en-US" w:eastAsia="zh-CN"/>
        </w:rPr>
      </w:pPr>
      <w:bookmarkStart w:id="12" w:name="_Toc26271"/>
      <w:r>
        <w:rPr>
          <w:rFonts w:hint="eastAsia"/>
          <w:lang w:val="en-US" w:eastAsia="zh-CN"/>
        </w:rPr>
        <w:t>报价文件格式</w:t>
      </w:r>
      <w:bookmarkEnd w:id="12"/>
    </w:p>
    <w:p>
      <w:pPr>
        <w:widowControl w:val="0"/>
        <w:numPr>
          <w:ilvl w:val="0"/>
          <w:numId w:val="0"/>
        </w:numPr>
        <w:jc w:val="both"/>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8"/>
        <w:jc w:val="both"/>
        <w:rPr>
          <w:rFonts w:hint="eastAsia" w:hAnsi="宋体"/>
          <w:b/>
          <w:color w:val="auto"/>
          <w:sz w:val="96"/>
          <w:szCs w:val="96"/>
          <w:lang w:val="en-US" w:eastAsia="zh-CN"/>
        </w:rPr>
      </w:pPr>
    </w:p>
    <w:p>
      <w:pPr>
        <w:pStyle w:val="8"/>
        <w:jc w:val="center"/>
        <w:rPr>
          <w:rFonts w:hint="eastAsia" w:hAnsi="宋体"/>
          <w:b/>
          <w:color w:val="auto"/>
          <w:sz w:val="96"/>
          <w:szCs w:val="96"/>
          <w:lang w:val="en-US" w:eastAsia="zh-CN"/>
        </w:rPr>
      </w:pPr>
    </w:p>
    <w:p>
      <w:pPr>
        <w:pStyle w:val="8"/>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7"/>
        <w:spacing w:line="360" w:lineRule="auto"/>
        <w:ind w:firstLine="0" w:firstLineChars="0"/>
        <w:rPr>
          <w:rFonts w:hint="eastAsia" w:ascii="宋体" w:hAnsi="宋体" w:eastAsia="宋体"/>
          <w:b/>
          <w:color w:val="auto"/>
          <w:sz w:val="32"/>
          <w:szCs w:val="32"/>
        </w:rPr>
      </w:pPr>
      <w:r>
        <w:rPr>
          <w:rFonts w:hint="eastAsia" w:ascii="宋体" w:hAnsi="宋体" w:eastAsia="宋体"/>
          <w:b/>
          <w:color w:val="auto"/>
          <w:sz w:val="32"/>
          <w:szCs w:val="32"/>
        </w:rPr>
        <w:t>项目名称：</w:t>
      </w:r>
    </w:p>
    <w:p>
      <w:pPr>
        <w:pStyle w:val="7"/>
        <w:spacing w:line="360" w:lineRule="auto"/>
        <w:ind w:firstLine="0" w:firstLineChars="0"/>
        <w:rPr>
          <w:rFonts w:hint="eastAsia" w:ascii="宋体" w:hAnsi="宋体" w:eastAsia="宋体"/>
          <w:b/>
          <w:color w:val="auto"/>
          <w:sz w:val="32"/>
          <w:szCs w:val="32"/>
          <w:lang w:eastAsia="zh-CN"/>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spacing w:line="360" w:lineRule="auto"/>
        <w:jc w:val="center"/>
        <w:rPr>
          <w:rFonts w:hint="eastAsia" w:hAnsi="宋体"/>
          <w:b/>
          <w:color w:val="auto"/>
          <w:sz w:val="28"/>
          <w:szCs w:val="28"/>
        </w:rPr>
      </w:pPr>
      <w:r>
        <w:rPr>
          <w:rFonts w:hint="eastAsia" w:hAnsi="宋体"/>
          <w:b/>
          <w:color w:val="auto"/>
          <w:sz w:val="28"/>
          <w:szCs w:val="28"/>
        </w:rPr>
        <w:t>供应商名称：</w:t>
      </w:r>
    </w:p>
    <w:p>
      <w:pPr>
        <w:pStyle w:val="8"/>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8"/>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8"/>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
        <w:rPr>
          <w:rFonts w:hint="eastAsia"/>
          <w:lang w:val="en-US" w:eastAsia="zh-CN"/>
        </w:rPr>
      </w:pPr>
    </w:p>
    <w:p>
      <w:pPr>
        <w:pStyle w:val="2"/>
        <w:rPr>
          <w:rFonts w:hint="eastAsia"/>
          <w:lang w:val="en-US" w:eastAsia="zh-CN"/>
        </w:rPr>
      </w:pPr>
    </w:p>
    <w:p>
      <w:pPr>
        <w:numPr>
          <w:ilvl w:val="0"/>
          <w:numId w:val="11"/>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偏离表</w:t>
      </w:r>
    </w:p>
    <w:p>
      <w:pPr>
        <w:pStyle w:val="2"/>
        <w:rPr>
          <w:rFonts w:hint="eastAsia" w:ascii="宋体" w:hAnsi="宋体" w:eastAsia="宋体" w:cs="宋体"/>
          <w:color w:val="auto"/>
          <w:sz w:val="24"/>
          <w:szCs w:val="24"/>
          <w:highlight w:val="none"/>
          <w:lang w:val="en-US" w:eastAsia="zh-CN"/>
        </w:rPr>
      </w:pPr>
    </w:p>
    <w:p>
      <w:pPr>
        <w:spacing w:line="500" w:lineRule="exact"/>
        <w:rPr>
          <w:rFonts w:ascii="宋体" w:hAnsi="宋体" w:cs="宋体"/>
          <w:b/>
          <w:bCs w:val="0"/>
          <w:color w:val="000000"/>
          <w:sz w:val="21"/>
          <w:szCs w:val="21"/>
        </w:rPr>
      </w:pPr>
      <w:r>
        <w:rPr>
          <w:rFonts w:hint="eastAsia" w:ascii="宋体" w:hAnsi="宋体" w:cs="宋体"/>
          <w:b/>
          <w:bCs w:val="0"/>
          <w:color w:val="000000"/>
          <w:sz w:val="21"/>
          <w:szCs w:val="21"/>
        </w:rPr>
        <w:t>实质性条款</w:t>
      </w:r>
    </w:p>
    <w:tbl>
      <w:tblPr>
        <w:tblStyle w:val="14"/>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85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参数要求</w:t>
            </w:r>
          </w:p>
        </w:tc>
        <w:tc>
          <w:tcPr>
            <w:tcW w:w="108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完全响应或</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正/负偏离</w:t>
            </w: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服务期限即自合同签订日起叁年。服务期限采取</w:t>
            </w:r>
            <w:r>
              <w:rPr>
                <w:rStyle w:val="23"/>
                <w:rFonts w:eastAsia="宋体"/>
                <w:lang w:val="en-US" w:eastAsia="zh-CN" w:bidi="ar"/>
              </w:rPr>
              <w:t>1+1+1</w:t>
            </w:r>
            <w:r>
              <w:rPr>
                <w:rStyle w:val="24"/>
                <w:lang w:val="en-US" w:eastAsia="zh-CN" w:bidi="ar"/>
              </w:rPr>
              <w:t>的方式。即先签订一年合同，如采购人对中标人的服务满意且考核合格，在每一年合同期满后，经采购人同意，本项目服务期限自动延期一年。如采购人对中标人所提供的服务不满意（即连续两个月考核结果低于</w:t>
            </w:r>
            <w:r>
              <w:rPr>
                <w:rStyle w:val="23"/>
                <w:rFonts w:eastAsia="宋体"/>
                <w:lang w:val="en-US" w:eastAsia="zh-CN" w:bidi="ar"/>
              </w:rPr>
              <w:t>75</w:t>
            </w:r>
            <w:r>
              <w:rPr>
                <w:rStyle w:val="24"/>
                <w:lang w:val="en-US" w:eastAsia="zh-CN" w:bidi="ar"/>
              </w:rPr>
              <w:t>分的），采购人有权单方终止合同。</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由采购人向中标人提供经营场地，中标人应在每月5日前向采购人缴交租金、垃圾处理费¥300元/月及上一个月的水、电费、天燃气费</w:t>
            </w:r>
            <w:bookmarkStart w:id="13" w:name="_GoBack"/>
            <w:bookmarkEnd w:id="13"/>
            <w:r>
              <w:rPr>
                <w:rFonts w:hint="eastAsia" w:ascii="宋体" w:hAnsi="宋体" w:eastAsia="宋体" w:cs="宋体"/>
                <w:i w:val="0"/>
                <w:iCs w:val="0"/>
                <w:color w:val="000000"/>
                <w:kern w:val="0"/>
                <w:sz w:val="21"/>
                <w:szCs w:val="21"/>
                <w:u w:val="none"/>
                <w:lang w:val="en-US" w:eastAsia="zh-CN" w:bidi="ar"/>
              </w:rPr>
              <w:t>（按实结算）等，中标人负责自主经营、自主管理、独立核算。</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中标人负责按食品安全的要求购买食物原材料、加工和水、电、气的费用及其员工的一切工资、福利、保险、健康体检和所产生事故、责任和纠纷。</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中标人在装修前必须提交书面装修申请和图纸（含平面设计图、装修效果图等）、预算明细表等交给采购人审批同意后方可进行，装修所产生的一切费用由中标人负责。</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必须选择具备装修资质的装修公司进行施工，装修材料、装修工艺必须符合环保要求及国家相关要求，采购人有权对装修公司及施工材料、工艺、环节进行监督管理，一旦发现不符合要求或以次充好的情形，采购人有权要求中标人立即停工整改。因中标人原因造成一切装修事故或安全隐患，所有责任及损失由中标人自行承担，对采购人造成经济或其他损失的，采购人有权进行索赔。</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中标人应制定装修期间的应急可行供餐方案，必须确保装修改造期间的正常供餐且应符合食品安全管理要求。</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中标人应当具备订餐系统、</w:t>
            </w:r>
            <w:r>
              <w:rPr>
                <w:rStyle w:val="23"/>
                <w:rFonts w:eastAsia="宋体"/>
                <w:lang w:val="en-US" w:eastAsia="zh-CN" w:bidi="ar"/>
              </w:rPr>
              <w:t>IC</w:t>
            </w:r>
            <w:r>
              <w:rPr>
                <w:rStyle w:val="24"/>
                <w:lang w:val="en-US" w:eastAsia="zh-CN" w:bidi="ar"/>
              </w:rPr>
              <w:t>卡消费系统功能开发、配置能力，</w:t>
            </w:r>
            <w:r>
              <w:rPr>
                <w:rStyle w:val="23"/>
                <w:rFonts w:eastAsia="宋体"/>
                <w:lang w:val="en-US" w:eastAsia="zh-CN" w:bidi="ar"/>
              </w:rPr>
              <w:t>IC</w:t>
            </w:r>
            <w:r>
              <w:rPr>
                <w:rStyle w:val="24"/>
                <w:lang w:val="en-US" w:eastAsia="zh-CN" w:bidi="ar"/>
              </w:rPr>
              <w:t>卡具有移动刷卡、个人充值、兼容采购人现有门禁等功能，结算报表能区分招标人充值和个人充值。并应在合同生效后一个月内负责将医院现有的饭堂信息系统进行全面更新升级，更新升级后的饭堂信息系统应具备以下功能：</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◎具有饭堂</w:t>
            </w:r>
            <w:r>
              <w:rPr>
                <w:rStyle w:val="23"/>
                <w:rFonts w:eastAsia="宋体"/>
                <w:lang w:val="en-US" w:eastAsia="zh-CN" w:bidi="ar"/>
              </w:rPr>
              <w:t>APP</w:t>
            </w:r>
            <w:r>
              <w:rPr>
                <w:rStyle w:val="24"/>
                <w:lang w:val="en-US" w:eastAsia="zh-CN" w:bidi="ar"/>
              </w:rPr>
              <w:t>网上订餐系统（提供该即将上线</w:t>
            </w:r>
            <w:r>
              <w:rPr>
                <w:rStyle w:val="23"/>
                <w:rFonts w:eastAsia="宋体"/>
                <w:lang w:val="en-US" w:eastAsia="zh-CN" w:bidi="ar"/>
              </w:rPr>
              <w:t>APP</w:t>
            </w:r>
            <w:r>
              <w:rPr>
                <w:rStyle w:val="24"/>
                <w:lang w:val="en-US" w:eastAsia="zh-CN" w:bidi="ar"/>
              </w:rPr>
              <w:t>的相关材料，例如操作界面截图、运行方案等）：</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具备专有订餐</w:t>
            </w:r>
            <w:r>
              <w:rPr>
                <w:rStyle w:val="23"/>
                <w:rFonts w:eastAsia="宋体"/>
                <w:lang w:val="en-US" w:eastAsia="zh-CN" w:bidi="ar"/>
              </w:rPr>
              <w:t>APP</w:t>
            </w:r>
            <w:r>
              <w:rPr>
                <w:rStyle w:val="24"/>
                <w:lang w:val="en-US" w:eastAsia="zh-CN" w:bidi="ar"/>
              </w:rPr>
              <w:t>且可直接网上订餐。采购人的员工可通过手机号或员工代码登录</w:t>
            </w:r>
            <w:r>
              <w:rPr>
                <w:rStyle w:val="23"/>
                <w:rFonts w:eastAsia="宋体"/>
                <w:lang w:val="en-US" w:eastAsia="zh-CN" w:bidi="ar"/>
              </w:rPr>
              <w:t>APP</w:t>
            </w:r>
            <w:r>
              <w:rPr>
                <w:rStyle w:val="24"/>
                <w:lang w:val="en-US" w:eastAsia="zh-CN" w:bidi="ar"/>
              </w:rPr>
              <w:t>，患者或家属通过手机号登录。</w:t>
            </w:r>
            <w:r>
              <w:rPr>
                <w:rStyle w:val="23"/>
                <w:rFonts w:eastAsia="宋体"/>
                <w:lang w:val="en-US" w:eastAsia="zh-CN" w:bidi="ar"/>
              </w:rPr>
              <w:t>APP</w:t>
            </w:r>
            <w:r>
              <w:rPr>
                <w:rStyle w:val="24"/>
                <w:lang w:val="en-US" w:eastAsia="zh-CN" w:bidi="ar"/>
              </w:rPr>
              <w:t>网上订餐系统应可以接受患者信息（病区、姓名、住院号、床号）和员工信息（员工姓名、工号或手机号等）进行订餐，并出具菜品单价明细小票。</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◎从饭堂</w:t>
            </w:r>
            <w:r>
              <w:rPr>
                <w:rStyle w:val="23"/>
                <w:rFonts w:eastAsia="宋体"/>
                <w:lang w:val="en-US" w:eastAsia="zh-CN" w:bidi="ar"/>
              </w:rPr>
              <w:t>APP</w:t>
            </w:r>
            <w:r>
              <w:rPr>
                <w:rStyle w:val="24"/>
                <w:lang w:val="en-US" w:eastAsia="zh-CN" w:bidi="ar"/>
              </w:rPr>
              <w:t>网上订餐后，消费者可以查询所订餐食的物流进度，订单完成后还可以在</w:t>
            </w:r>
            <w:r>
              <w:rPr>
                <w:rStyle w:val="23"/>
                <w:rFonts w:eastAsia="宋体"/>
                <w:lang w:val="en-US" w:eastAsia="zh-CN" w:bidi="ar"/>
              </w:rPr>
              <w:t>APP</w:t>
            </w:r>
            <w:r>
              <w:rPr>
                <w:rStyle w:val="24"/>
                <w:lang w:val="en-US" w:eastAsia="zh-CN" w:bidi="ar"/>
              </w:rPr>
              <w:t>网上订餐系统进行消费评价（具有图片上传功能）。</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◎饭堂</w:t>
            </w:r>
            <w:r>
              <w:rPr>
                <w:rStyle w:val="23"/>
                <w:rFonts w:eastAsia="宋体"/>
                <w:lang w:val="en-US" w:eastAsia="zh-CN" w:bidi="ar"/>
              </w:rPr>
              <w:t>APP</w:t>
            </w:r>
            <w:r>
              <w:rPr>
                <w:rStyle w:val="24"/>
                <w:lang w:val="en-US" w:eastAsia="zh-CN" w:bidi="ar"/>
              </w:rPr>
              <w:t>网上订餐系统应有预约点餐（例如提前</w:t>
            </w:r>
            <w:r>
              <w:rPr>
                <w:rStyle w:val="23"/>
                <w:rFonts w:eastAsia="宋体"/>
                <w:lang w:val="en-US" w:eastAsia="zh-CN" w:bidi="ar"/>
              </w:rPr>
              <w:t>1</w:t>
            </w:r>
            <w:r>
              <w:rPr>
                <w:rStyle w:val="24"/>
                <w:lang w:val="en-US" w:eastAsia="zh-CN" w:bidi="ar"/>
              </w:rPr>
              <w:t>天下单）、临时取消订单及增加订单的功能，还具有配送餐方式（有堂食、配送、自提或他人代取（如由他人代取，需设置核对确认环节如随机取餐码）等多种配送方式的选择。</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堂信息化系统应具备医院员工在饭堂消费时，系统应具有：“按医院员工就餐补助规则，在系统中直接扣减补贴金额后，再从员工个人饭卡帐号收取差额”的功能（即员工在饭堂消费时，饭堂信息系统从员工的个人帐号中收取的金额是减去医院补助后的金额），无需再另行统计并集中发放补助。中标人应配合用餐补助规则的变化而调整。</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◎饭堂信息系统应具备移动刷卡系统或手机网上消费（绑定饭卡）功能，让无法到食堂现场就餐的员工在病房订餐也能享受到员工消费补助。</w:t>
            </w:r>
            <w:r>
              <w:rPr>
                <w:rStyle w:val="23"/>
                <w:rFonts w:eastAsia="宋体"/>
                <w:lang w:val="en-US" w:eastAsia="zh-CN" w:bidi="ar"/>
              </w:rPr>
              <w:t>APP</w:t>
            </w:r>
            <w:r>
              <w:rPr>
                <w:rStyle w:val="24"/>
                <w:lang w:val="en-US" w:eastAsia="zh-CN" w:bidi="ar"/>
              </w:rPr>
              <w:t>可对全院员工进行科室分组，对特殊科室分组（</w:t>
            </w:r>
            <w:r>
              <w:rPr>
                <w:rStyle w:val="23"/>
                <w:rFonts w:eastAsia="宋体"/>
                <w:lang w:val="en-US" w:eastAsia="zh-CN" w:bidi="ar"/>
              </w:rPr>
              <w:t>ICU</w:t>
            </w:r>
            <w:r>
              <w:rPr>
                <w:rStyle w:val="24"/>
                <w:lang w:val="en-US" w:eastAsia="zh-CN" w:bidi="ar"/>
              </w:rPr>
              <w:t>、手术室、产房、介入室、胃肠镜室等）的线上订餐自动减免配送费。</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◎饭堂信息系统应具备直接通过员工手机或个人帐号进行网上充值和无卡手机扫码消费等功能，应具有通过识别员工出示的手机代码直接扣费（员工在食堂一楼消费可享受对应的优惠折扣）。</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◎中标人提供不同类型的</w:t>
            </w:r>
            <w:r>
              <w:rPr>
                <w:rStyle w:val="23"/>
                <w:rFonts w:eastAsia="宋体"/>
                <w:lang w:val="en-US" w:eastAsia="zh-CN" w:bidi="ar"/>
              </w:rPr>
              <w:t>IC</w:t>
            </w:r>
            <w:r>
              <w:rPr>
                <w:rStyle w:val="24"/>
                <w:lang w:val="en-US" w:eastAsia="zh-CN" w:bidi="ar"/>
              </w:rPr>
              <w:t>卡，享受医院补贴的</w:t>
            </w:r>
            <w:r>
              <w:rPr>
                <w:rStyle w:val="23"/>
                <w:rFonts w:eastAsia="宋体"/>
                <w:lang w:val="en-US" w:eastAsia="zh-CN" w:bidi="ar"/>
              </w:rPr>
              <w:t>IC</w:t>
            </w:r>
            <w:r>
              <w:rPr>
                <w:rStyle w:val="24"/>
                <w:lang w:val="en-US" w:eastAsia="zh-CN" w:bidi="ar"/>
              </w:rPr>
              <w:t>卡应有区别。所有卡均由中标方提供，由采购人录入信息、发放、补办、取消等。</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中标人应该在正常营业前在饭堂关键操作间及重点区域完成监控设备的安装，达到全方位监控，以确保对规范操作及食品质量安全进行24小时监督管理，存储时间达到180天以上。具体包括且不仅限于以下区域：</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①一、二楼各操作间（烹饪间、烧味档、分餐区、烘焙间、洗消间等）；</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②一、二楼就餐区；</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③一、二楼收银处；</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④一、二楼各出入口。</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按照采购人主管部门的要求，在共同进行现场勘查确定后，按照在合理的位置，如采购人主管部门要求需安装的位置或在合同期内根据实际情况需加装监控设备的，中标人应按照要求安装，设备及安装等所有费用由中标人承担。</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履约保证金：</w:t>
            </w:r>
            <w:r>
              <w:rPr>
                <w:rStyle w:val="24"/>
                <w:lang w:val="en-US" w:eastAsia="zh-CN" w:bidi="ar"/>
              </w:rPr>
              <w:t>中标人中标后应缴纳人民币</w:t>
            </w:r>
            <w:r>
              <w:rPr>
                <w:rStyle w:val="25"/>
                <w:lang w:val="en-US" w:eastAsia="zh-CN" w:bidi="ar"/>
              </w:rPr>
              <w:t>5</w:t>
            </w:r>
            <w:r>
              <w:rPr>
                <w:rStyle w:val="24"/>
                <w:lang w:val="en-US" w:eastAsia="zh-CN" w:bidi="ar"/>
              </w:rPr>
              <w:t>万元作为本项目履约保证金。待中标人合同期后，无发生突发事件或严重的不良事件的，等双方约交接完毕并评价优秀后，采购人将会无息退还履约保证金。</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中标人应该在正常营业时投入使用“智慧餐厅”系统，并实现以下功能：</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自助称重，开放式一菜一价自由餐，自由、透明、公道、灵活。</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智慧餐盘结算，高效、便捷的结算方式，减少就餐高峰期的排队情况。</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提供便捷操作如下：</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①关注公众号，自行注册充值</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②取托盘，到绑卡机处刷脸绑定托盘</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③绑定成功，拿取托盘到各菜盘处自行取菜</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④完成取菜后托盘放在下面感应盘上面，自动生成订单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⑤自动余额结算</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在中标后1个月内在手术室、产房、ICU、介入室、胃镜室等科室增设智能保温柜或温餐车等保温设备（根据采购人实际科室需求进行投放）,解决医生手术餐、误餐等问题。餐厅接单，将餐品打包完成后，由配餐员将餐品摆放至保温设备内。医护人员可以随时取餐，确保保温、安全。</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住院患者营养膳食</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（1）营养膳食要求总则</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①在采购人临床营养科的指导和监督下，根据《临床营养技术操作规范》等相关法规进行营养膳食的制作，执行我院患者营养膳食制作标准。</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②中标人配备三级或以上《营养师资格证》的营养师和成立营养膳食小组，能够准确完成常用营养膳食的制作。</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③定期对营养膳食小组及相关人员进行专业知识培训。</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④配餐员根据住院患者饮食医嘱，提醒和指引住院患者预订营养膳食。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⑤膳食配制设备、设施和原材料应符合营养膳食的配制要求和食品安全的要求。</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⑥膳食配送及相关工作人员卫生达标。要有保温措施，在盛装后能在30分钟内送至指定地点。</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⑦不准擅自经营不符合营养膳食要求的餐饮。</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（2）住院患者基本膳食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结合三级甲等医院对住院患者就餐考核的相关标准，采购人临床营养科负责指导普通住院患者饮食食谱编制，以确保患者饮食合理搭配，科学用餐。餐饮公司对此不得擅自更改，如遇特殊情况需要修订须经采购人临床营养科许可。</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（3）住院患者特殊治疗膳食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特殊治疗膳食是住院患者饮食的核心内容，它作为某些疾病诊断及治疗的重要辅助手段，要求执行我院《住院患者膳食手册》，严格执行制作规程，并贯穿于整个临床医疗过程的始终。</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①糖尿病膳食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a.膳食管理：严格按医嘱要求编制食谱的内容并制作，按规定的餐次定时送餐。</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b.主食制作：a)全日主食的份量均应准确称量；b)早餐的点心类和半流质食品制作应按规定的份量进行配制。</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c.副食制作：a)所有动物性食品应按规定的量进行配制；b）蔬菜的量按规定的量配给；c）所有菜肴的烹调制作均按规定不放糖及含糖的调味品；d）所有菜肴的烹调应按菜谱要求，一律要求清淡，菜谱中有焖或红烧的菜肴一律不能按普通常规先炸后煮，应该采用短时快炒后加水煮熟的方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②低蛋白膳</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a.主食制作：a）米饭或面食类（麦淀粉）的份量应按各种类规定的量予以配给；b）低蛋白主食品的份量应按标准量配给。</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b.副食制作：a）优质蛋白食品的动物性副食品应规定量配给；b）所有的副食应低盐（标准为：2～3g/人/日）烹调。</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③流质膳食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份量的供给：应按规定的份量配给患者，每天6餐，送餐5或6次。</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④低盐膳食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所有的菜肴均应按要求给予食盐（标准为：2～3g/人/日）或少量酱油，按1g/人/餐配给，不能另外添加其他调味品如味精、调味酱等，菜谱中不应出现盐腌制的菜如咸菜等。</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⑤低嘌呤膳食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a.所有的菜肴应清淡少油，可按普通菜肴放油量的1/2量给予；</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b.菜肴的品种应在规定的品种范围内配给。</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⑥低脂膳食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a.所有菜肴的烹调应少放烹调油，全日用油量限制在30g/人以内，按10g/人/餐给予烹调油，不可采用煎炸的烹调方法；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b.所有动物性食品应选用精瘦的部分。</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⑦钾钠平衡膳食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a.所有的主副食均应在烹调前准确称量，按规定的量配给；</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b.膳食采用的食物品种应按规定的菜谱配备，不能擅自更换，若偶尔有时不能及时购买指定的品种，需先报告营养师，征得同意后方可更改相当的品种。</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c.烹调用食盐或酱油的量必须按食谱规定的量准确配给（每餐分开称量），如不按规定操作。</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⑧钙磷平衡膳食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a.所有的主副食均应在烹调前准确称量，按规定的量配给；</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b.膳食采用的食物品种应按规定的菜谱配备，不能擅自更换，若偶尔有时不能及时购买指定的品种，需先报告营养师，征得同意后方可更改相当的品种。</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c.烹调所有的膳食包括主食和副食都必须用蒸馏水。</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⑨戒碘膳食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a.采用的食物品种应避免含碘高的海产品包括海鱼和海带、各种菌藻类；</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b.烹调用的食盐应采用无碘盐。</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4"/>
                <w:lang w:val="en-US" w:eastAsia="zh-CN" w:bidi="ar"/>
              </w:rPr>
              <w:t>⑩戒糖膳食</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所有副食的烹调均禁用蔗糖及其他含糖的调味酱料。</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（4）住院产妇月子餐</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在采购人临床营养科的指导下，按月子餐规范配置营养膳食，纯利润不得超过10% 。</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新菜品供应：中标人推出新菜品前，须向采购人主管部门提供菜品的成本卡（包括所用材料、单位用量、单位成本等）供采购人审核日确认。</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5、中标人提供餐饮的价格：</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（1）所有的商品必须明码标价进行销售。</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（2）中标人必须按成本价为职工提供餐饮和按成本价提供医院的公务餐（菜谱应低于市场价的 20%；）、会议餐、职工包餐、盒饭、采购人需要的各类临时性用餐服务。</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（3）各类特殊治疗膳食，定价不得高于住院患者基本膳食定价的一倍。</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（4）饭堂餐饮价格由采购人监管，餐饮定价、伙食标准须经采购人同意后才能实行。基础餐标定价以标书为准，其他菜式及餐饮服务（自选菜等）定价由中标人与采购人按本招标文件约定确定。</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中标人在职工就餐区提供的早、午、晚餐，同类型、同品种、同份量的不得高于市场价，早餐每个菜品单价不得超过4元，午、晚餐每个菜品单价荤菜类定价不得超过10元，半荤菜（荤、素混炒类）定价不得超过6元、素菜类定价不得超过2元（特殊菜式或小炒类、煲仔饭类、炖汤除外，但不得高于成本价），另设置快餐套餐/标准餐（含一素、一半荤、一全荤），最高定价不得超过14元。午、晚餐米饭定价不高于0.5元，并可无限随意添加。投标时须提交菜品的报价方案，如需调价应向采购人主管部门提交书面申请并经同意后方可调整。医院员工在一楼就餐区消费时应享受与二楼同样的价格优惠和优先服务待遇。</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6）投标人需在供应方案中列明所供应的早餐的每个品种菜式、午晚餐的荤菜、半荤菜以及素菜的菜式以及供应方案，至少包含以下内容：</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①计划供应的早餐所有品种菜式名录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②计划供应的所有荤菜菜式名录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③计划供应的所有半荤菜菜式名录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④计划供应的所有素菜菜式名录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⑤计划供应的例汤名录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⑥计划供应的煲仔饭名录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⑥计划供应的炖汤名录</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⑥计划供应的地方特色风味餐名录（如北方特色面食、水煮鱼/牛肉等）</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⑥每天供应的菜式计划表（按照每周为一个周期进行计划）</w:t>
            </w:r>
            <w:r>
              <w:rPr>
                <w:rStyle w:val="24"/>
                <w:lang w:val="en-US" w:eastAsia="zh-CN" w:bidi="ar"/>
              </w:rPr>
              <w:t xml:space="preserve">     </w:t>
            </w: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疏通和清理油烟系统、隔油池、下水道确保畅通干净，加强灭蝇、灭蟑螂、灭鼠等措施，定期灭杀四害，防蝇、防鼠、防尘设备齐全、有效，环境符合采购人及上级管理部门的要求，合同签订后10天内列出具体实施方案给采购人，所有卫生防疫费用由中标人自行承担。如检查发现厨房有活动性苍蝇、蟑螂、老鼠，视情况轻重扣罚，并限期当天整改，如多次发现，采购人有权终止合同处理。</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拟委派本项目负责人必须配有高级或以上的《餐饮服务食品安全管理员证》的管理员（投标文件提供证书复印件，投标时提供证书原件核查）。</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确保餐饮服务项目员工的稳定性以保证项目的服务质量。未经采购人同意，中标人不得随意更换本项目负责人。因故需要更换时，中标人应至少提前一周向采购人主管部门提出书面申请，并经采购人主管部门同意后方可更换。</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中标人应保证员工每月正常休息时间，确保员工的身心健康。</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1"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中标人须按日均就餐人数至少40:1</w:t>
            </w:r>
            <w:r>
              <w:rPr>
                <w:rStyle w:val="25"/>
                <w:lang w:val="en-US" w:eastAsia="zh-CN" w:bidi="ar"/>
              </w:rPr>
              <w:t xml:space="preserve"> 的比例配足配齐专业技术人员（包括但不仅限于厨师、点心师、营养师、管理人员、送餐员等工作人员）的人数，以确保管理、服务到位和供餐速度。如采购人根据实际情况要求增加专业技术人员的，中标人应按照采购人要求进行配备。</w:t>
            </w:r>
            <w:r>
              <w:rPr>
                <w:rStyle w:val="24"/>
                <w:lang w:val="en-US" w:eastAsia="zh-CN" w:bidi="ar"/>
              </w:rPr>
              <w:t>中标人应配备有至少5名粤菜、湘菜、川菜等不同口味菜式的厨师，并要配备驻点营养师和点心师等，中标人所有员工应持有效健康证方可上岗且不得具有传染病和犯罪或不良行为记录。所有人员名单应提交给医院主管部门备案。（提供承诺函）</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必须遵守国家相关法律法规，遵守医院的规章制度，合法经营，按章纳税，中标人入场前必须为该项目购买相应的食品、财产和人身安全保险，并将该保险复印件提交给采购人备案。中标人对经营过程所发生一切安全责任、债务、劳资纠纷和各种意外事件及其造成的后果负责。</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中标人必须加强对雇用员工的教育与管理，严禁在医院进行非法活动，中标人员工所发生的一切纠纷或意外事故由中标人负责。</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的员工应遵守餐饮操作规范、法律法规及医院的规章制度要求。员工应注意个人卫生，勤洗手，每天勤换衣着整齐干净，接触食品的员工在工作时戴帽子（头发不得外露）、口罩等，不得佩戴戒指、手镯等饰品。所有员工必须通过培训后，持有健康证方可上岗，患有国家规定的传染病者严禁上岗，患有发热、腹泻、手部皮肤有伤口或感染等情况的员工应立即脱离工作岗位，并在治疗至痊愈或污染食品的可能被排除后，方可恢复上岗。员工必须每年体检一次，体检等费用由承包者负责。</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根据三甲医院评审的服务要求，制定并不断完善食品操作（准备、处理、贮存、运送、留样等）标准与程序、员工岗位职责及食品安全相关管理制度，在适当位置加设公示牌，列明工作要求以及管理方法。积极配合采购人或公安、消防、安监、食品安全、卫生防疫等部门做好食品安全、卫生的宣传及管理工作。投标人生产、运输及机构内分送场所的设施与卫生条件符合国家食品卫生法规要求，有突发食品安全事件应急预案并根据预案开展的应急演练，有演练记录、有总结和改进措施（每年最少一次）。</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取减少一次性餐具使用的措施。禁止、限制使用不可降解塑料袋、一次性塑料餐具，积极推广使用符合性能和食品安全要求的生物基产品、可降解塑料袋等替代产品，不向顾客主动提供一次性餐具用品，中标人的环保节能工作纳入日常考核，一次性餐具须使用环保符合卫生且可回收的餐具（具有环保符号），不得使用发泡产品，须提供样品样本供采购人确认后方可使用。</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采购人提供现有的设备、设施给中标人使用，中标人必须爱护采购人提供的各项设备、设施。 经采购人盘点后开列清单提供给中标人使用，维护费用由中标人承担；合同期满后，中标人应按清单记载内容将相关设施设备完好交回于采购人，并在双方参加下做好交接手续。中标人需要对承包区域进行装修、改造等改动时，必须书面征得采购人同意后方可实施，所产生的费用由中标人负责。添置或更新设施由投标人负责，费用自理。中标人经营期间必须保证房屋、基础建设及设备设施的完好性，如有损坏由中标人负责相应的费用。承包期满投标人撤场后10个工作日内，中标人可以拆除属于中标人的可移动的设备、设施，但处置后不得遗留安全隐患，逾期不处理的，归采购人所有。固定的、不能拆卸的设备设施不得拆除、破坏，采购人不承担其转让工作。</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2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合同终止时，中标人应将采购人所需保存的所有培训资料（签到表、培训内容、培训总结、培训照片等）及经营、管理原始资料移交给采购人，并完成所有交接手续后方可撤场。</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6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配合采购人的价格监督。中标人应提供每月原材料的采购票据及凭证、成本明细报表（不得弄虚作假）、售价（定价方案等）供采购人审核，一旦发现有私自提价或乱收费的现象，扣罚500-1000元/次。一旦发现中标人的利润高于规定的利润者，视情况予以扣罚1000-3000元/次并立即调价至要求的范围内。</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85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5"/>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5"/>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5"/>
        <w:rPr>
          <w:rFonts w:hint="eastAsia"/>
        </w:rPr>
      </w:pPr>
    </w:p>
    <w:p>
      <w:pPr>
        <w:rPr>
          <w:rFonts w:hint="eastAsia" w:ascii="宋体" w:hAnsi="宋体" w:eastAsia="宋体" w:cs="宋体"/>
        </w:rPr>
      </w:pPr>
      <w:r>
        <w:rPr>
          <w:rFonts w:hint="eastAsia" w:ascii="宋体" w:hAnsi="宋体" w:cs="宋体"/>
          <w:b/>
          <w:color w:val="000000"/>
          <w:sz w:val="22"/>
          <w:szCs w:val="22"/>
        </w:rPr>
        <w:t>一般条款</w:t>
      </w:r>
    </w:p>
    <w:tbl>
      <w:tblPr>
        <w:tblStyle w:val="14"/>
        <w:tblW w:w="91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2"/>
        <w:gridCol w:w="7022"/>
        <w:gridCol w:w="917"/>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0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参数要求</w:t>
            </w:r>
          </w:p>
        </w:tc>
        <w:tc>
          <w:tcPr>
            <w:tcW w:w="91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完全响应或</w:t>
            </w:r>
          </w:p>
        </w:tc>
        <w:tc>
          <w:tcPr>
            <w:tcW w:w="9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正/负偏离</w:t>
            </w:r>
          </w:p>
        </w:tc>
        <w:tc>
          <w:tcPr>
            <w:tcW w:w="9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应每天（全年不间断）为医院员工（含进修生、实习生、后勤服务公司员工及其它工作人员的工作人员）、患者及家属提供早餐、中餐、晚餐、宵夜及提供医院公务餐、会议餐、职工包餐、会议盒饭、采购人需要的各类临时性用餐和应急配餐服务。</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的食品、副食品及配料等必须由正常渠道购进，确保食材安全、无农药、无添加、确保最佳产地、确保非转基因，中标人在采购粮油、肉蛋类、禽类、鱼类、蔬菜类、副食品类、调味类、食品添加剂等原料和物品必须符合《中华人民共和国食品安全法》、《中华人民共和国动物检疫法》等相关规定，符合卫生标准和营养要求。</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专职采购员,每次采购，严格做好进货验收和索票索证工作，建立采购台账（必须专人规范填写）、索证验收台账、投标人资质证明台账等，索取投标人有效的资质、检验检测合格证明等文件，包括但不仅限于《营业执照》、《食品卫生许可证》、《产品质量检验报告》、《出厂检验报告》、《动物检疫合格证明》、《肉品品质检验合格证》、《送货清单》、《购货凭据》；饮料、乳制品、调味品等食品每批次的检验合格证或检验单；蔬菜等散装农副食品及鱼类等鲜活产品检验合格证明；一次性餐具检验合格证；清洁剂检验合格证明等。随时接受采购人及上级部门的检查。</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专门人员负责留样，每餐食品按相关规定的份量、时间、保存条件等做好留样工作。至少保存48小时，留样份量每样至少100克，在5℃以下冷藏专柜专放并按要求做好食品留样管理工作等，具体根据相关规定实施。</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22" w:type="dxa"/>
            <w:tcBorders>
              <w:top w:val="single" w:color="000000" w:sz="8" w:space="0"/>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粮食品牌参照标准：中粮、中储粮、益海嘉里集团等产品。</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3" w:type="dxa"/>
            <w:vMerge w:val="restart"/>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22"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食用油、酱油：</w:t>
            </w: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3"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22"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（1）不准再采购有“QS”标志，须采购具有新食品生产编号的产品。外包装完好，标明品名、厂名、重量、生产日期、保质期或保存期、执行标准等，剩余保质期不少于三分二，具有产品合格证。</w:t>
            </w: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3"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22" w:type="dxa"/>
            <w:tcBorders>
              <w:top w:val="nil"/>
              <w:left w:val="nil"/>
              <w:bottom w:val="single" w:color="000000" w:sz="8"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（2）必须提供进货渠道及提供当地食品卫生监督部门抽样检测报告。</w:t>
            </w: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3"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食油品牌参照标准：中粮、金龙鱼、鲁花等；调味类品牌参照标准：海天、李锦记、东古等。</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调味料：味精、鸡精、鸡粉等建议不用或尽量少用。</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根据三甲医院评审的服务要求，制定并不断完善食品操作（准备、处理、贮存、运送、留样等）标准与程序、员工岗位职责及食品安全相关管理制度，在适当位置加设公示牌，列明工作要求以及管理方法。积极配合采购人或公安、消防、安监、食品安全、卫生防疫等部门做好食品安全、卫生的宣传及管理工作。投标人生产、运输及机构内分送场所的设施与卫生条件符合国家食品卫生法规要求，有突发食品安全事件应急预案并根据预案开展的应急演练，有演练记录、有总结和改进措施（每年最少一次）。</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应配置农药检验检测仪，用于抽验蔬果农药残留，并做好检验台账，必要时由采购人检验科检查检测情况。</w:t>
            </w:r>
          </w:p>
        </w:tc>
        <w:tc>
          <w:tcPr>
            <w:tcW w:w="917"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23"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8"/>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8"/>
        <w:tabs>
          <w:tab w:val="left" w:pos="0"/>
        </w:tabs>
        <w:adjustRightInd w:val="0"/>
        <w:snapToGrid w:val="0"/>
        <w:spacing w:line="420" w:lineRule="exact"/>
        <w:rPr>
          <w:rFonts w:hAnsi="宋体" w:cs="宋体"/>
          <w:sz w:val="24"/>
          <w:szCs w:val="24"/>
        </w:rPr>
      </w:pPr>
      <w:r>
        <w:rPr>
          <w:rFonts w:hint="eastAsia" w:hAnsi="宋体" w:cs="宋体"/>
          <w:b/>
          <w:bCs/>
          <w:sz w:val="24"/>
          <w:szCs w:val="24"/>
        </w:rPr>
        <w:t>（2）报价单</w:t>
      </w:r>
      <w:r>
        <w:rPr>
          <w:rFonts w:hint="eastAsia" w:hAnsi="宋体" w:cs="宋体"/>
          <w:sz w:val="24"/>
          <w:szCs w:val="24"/>
        </w:rPr>
        <w:t xml:space="preserve"> </w:t>
      </w:r>
    </w:p>
    <w:p>
      <w:pPr>
        <w:pStyle w:val="8"/>
        <w:tabs>
          <w:tab w:val="left" w:pos="0"/>
        </w:tabs>
        <w:adjustRightInd w:val="0"/>
        <w:snapToGrid w:val="0"/>
        <w:spacing w:line="420" w:lineRule="exact"/>
        <w:rPr>
          <w:rFonts w:hAnsi="宋体" w:cs="宋体"/>
          <w:sz w:val="24"/>
          <w:szCs w:val="24"/>
        </w:rPr>
      </w:pPr>
    </w:p>
    <w:tbl>
      <w:tblPr>
        <w:tblStyle w:val="14"/>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783"/>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140" w:type="dxa"/>
            <w:shd w:val="clear" w:color="auto" w:fill="auto"/>
            <w:vAlign w:val="center"/>
          </w:tcPr>
          <w:p>
            <w:pPr>
              <w:spacing w:beforeLines="50" w:afterLines="50" w:line="360" w:lineRule="exact"/>
              <w:jc w:val="center"/>
              <w:rPr>
                <w:rFonts w:ascii="宋体" w:hAnsi="宋体" w:cs="宋体"/>
                <w:b/>
                <w:color w:val="000000"/>
                <w:sz w:val="24"/>
                <w:szCs w:val="24"/>
              </w:rPr>
            </w:pPr>
            <w:r>
              <w:rPr>
                <w:rFonts w:hint="eastAsia" w:ascii="宋体" w:hAnsi="宋体" w:cs="宋体"/>
                <w:b/>
                <w:bCs/>
                <w:color w:val="000000"/>
                <w:sz w:val="24"/>
                <w:szCs w:val="24"/>
              </w:rPr>
              <w:t>项目名称</w:t>
            </w:r>
          </w:p>
        </w:tc>
        <w:tc>
          <w:tcPr>
            <w:tcW w:w="1783" w:type="dxa"/>
            <w:shd w:val="clear" w:color="auto" w:fill="auto"/>
            <w:vAlign w:val="center"/>
          </w:tcPr>
          <w:p>
            <w:pPr>
              <w:spacing w:beforeLines="50" w:afterLines="50" w:line="360" w:lineRule="exact"/>
              <w:jc w:val="center"/>
              <w:rPr>
                <w:rFonts w:ascii="宋体" w:hAnsi="宋体" w:cs="宋体"/>
                <w:b/>
                <w:color w:val="000000"/>
                <w:sz w:val="24"/>
                <w:szCs w:val="24"/>
              </w:rPr>
            </w:pPr>
            <w:r>
              <w:rPr>
                <w:rFonts w:hint="eastAsia" w:ascii="宋体" w:hAnsi="宋体" w:cs="宋体"/>
                <w:b/>
                <w:bCs/>
                <w:color w:val="000000"/>
                <w:sz w:val="24"/>
                <w:szCs w:val="24"/>
              </w:rPr>
              <w:t>数量</w:t>
            </w:r>
          </w:p>
        </w:tc>
        <w:tc>
          <w:tcPr>
            <w:tcW w:w="3084" w:type="dxa"/>
            <w:shd w:val="clear" w:color="auto" w:fill="auto"/>
            <w:vAlign w:val="center"/>
          </w:tcPr>
          <w:p>
            <w:pPr>
              <w:spacing w:beforeLines="50" w:afterLines="50" w:line="360" w:lineRule="exact"/>
              <w:jc w:val="center"/>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每月租金报价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4140" w:type="dxa"/>
            <w:shd w:val="clear" w:color="auto" w:fill="auto"/>
            <w:vAlign w:val="center"/>
          </w:tcPr>
          <w:p>
            <w:pPr>
              <w:spacing w:beforeLines="50" w:afterLines="50" w:line="360" w:lineRule="exact"/>
              <w:jc w:val="center"/>
              <w:rPr>
                <w:rFonts w:hint="eastAsia" w:ascii="宋体" w:hAnsi="宋体" w:cs="宋体"/>
                <w:b/>
                <w:bCs/>
                <w:color w:val="000000"/>
                <w:szCs w:val="21"/>
              </w:rPr>
            </w:pPr>
          </w:p>
        </w:tc>
        <w:tc>
          <w:tcPr>
            <w:tcW w:w="1783" w:type="dxa"/>
            <w:shd w:val="clear" w:color="auto" w:fill="auto"/>
            <w:vAlign w:val="center"/>
          </w:tcPr>
          <w:p>
            <w:pPr>
              <w:spacing w:beforeLines="50" w:afterLines="50" w:line="360" w:lineRule="exact"/>
              <w:jc w:val="center"/>
              <w:rPr>
                <w:rFonts w:hint="eastAsia" w:ascii="宋体" w:hAnsi="宋体" w:cs="宋体"/>
                <w:b/>
                <w:bCs/>
                <w:color w:val="000000"/>
                <w:szCs w:val="21"/>
              </w:rPr>
            </w:pPr>
          </w:p>
        </w:tc>
        <w:tc>
          <w:tcPr>
            <w:tcW w:w="3084" w:type="dxa"/>
            <w:shd w:val="clear" w:color="auto" w:fill="auto"/>
            <w:vAlign w:val="center"/>
          </w:tcPr>
          <w:p>
            <w:pPr>
              <w:spacing w:beforeLines="50" w:afterLines="50" w:line="360" w:lineRule="exact"/>
              <w:jc w:val="center"/>
              <w:rPr>
                <w:rFonts w:hint="eastAsia" w:ascii="宋体" w:hAnsi="宋体" w:cs="宋体"/>
                <w:b/>
                <w:color w:val="000000"/>
                <w:szCs w:val="21"/>
                <w:lang w:val="en-US" w:eastAsia="zh-CN"/>
              </w:rPr>
            </w:pPr>
          </w:p>
        </w:tc>
      </w:tr>
    </w:tbl>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widowControl/>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8"/>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5"/>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8"/>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w:t>
      </w:r>
      <w:r>
        <w:rPr>
          <w:rFonts w:hint="eastAsia"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同项下的谈判活动，供应商在参与本次谈判活动中未有围标、串标行为。并出具《无围</w:t>
      </w:r>
      <w:r>
        <w:rPr>
          <w:rFonts w:hint="eastAsia"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标、串标行为承诺书》、《无关联关系声明函》（加盖公章）。</w:t>
      </w:r>
    </w:p>
    <w:p>
      <w:pPr>
        <w:pStyle w:val="4"/>
        <w:tabs>
          <w:tab w:val="center" w:pos="4450"/>
          <w:tab w:val="left" w:pos="6396"/>
        </w:tabs>
        <w:jc w:val="center"/>
        <w:rPr>
          <w:rFonts w:hint="eastAsia" w:ascii="宋体" w:hAnsi="宋体" w:eastAsia="宋体" w:cs="宋体"/>
        </w:rPr>
      </w:pP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
        <w:rPr>
          <w:rFonts w:hint="eastAsia" w:ascii="宋体" w:hAnsi="宋体" w:eastAsia="宋体" w:cs="宋体"/>
          <w:b w:val="0"/>
          <w:bCs/>
          <w:color w:val="auto"/>
          <w:sz w:val="24"/>
          <w:szCs w:val="24"/>
          <w:highlight w:val="none"/>
        </w:rPr>
      </w:pPr>
    </w:p>
    <w:p>
      <w:pPr>
        <w:pStyle w:val="2"/>
        <w:rPr>
          <w:rFonts w:hint="eastAsia" w:ascii="宋体" w:hAnsi="宋体" w:eastAsia="宋体" w:cs="宋体"/>
          <w:b w:val="0"/>
          <w:bCs/>
          <w:color w:val="auto"/>
          <w:sz w:val="24"/>
          <w:szCs w:val="24"/>
          <w:highlight w:val="none"/>
        </w:rPr>
      </w:pPr>
    </w:p>
    <w:p>
      <w:pPr>
        <w:pStyle w:val="2"/>
        <w:ind w:left="0" w:leftChars="0" w:firstLine="0" w:firstLineChars="0"/>
        <w:rPr>
          <w:rFonts w:hint="eastAsia" w:ascii="宋体" w:hAnsi="宋体" w:eastAsia="宋体" w:cs="宋体"/>
          <w:b w:val="0"/>
          <w:bCs/>
          <w:color w:val="auto"/>
          <w:sz w:val="24"/>
          <w:szCs w:val="24"/>
          <w:highlight w:val="none"/>
        </w:rPr>
      </w:pPr>
    </w:p>
    <w:p>
      <w:pPr>
        <w:pStyle w:val="8"/>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b w:val="0"/>
          <w:bCs/>
          <w:color w:val="auto"/>
          <w:sz w:val="24"/>
          <w:szCs w:val="24"/>
          <w:highlight w:val="none"/>
        </w:rPr>
      </w:pPr>
      <w:r>
        <w:rPr>
          <w:rFonts w:hint="eastAsia" w:hAnsi="宋体" w:cs="宋体"/>
          <w:b w:val="0"/>
          <w:bCs/>
          <w:sz w:val="24"/>
          <w:szCs w:val="24"/>
        </w:rPr>
        <w:t>供应商资质证件（包括但不限于营业执照、卫生许可证、税务登记证、餐饮服务许可证或食品流通许可证及一切必须具有的证件</w:t>
      </w:r>
      <w:r>
        <w:rPr>
          <w:rFonts w:hint="eastAsia" w:hAnsi="宋体" w:cs="宋体"/>
          <w:b w:val="0"/>
          <w:bCs/>
          <w:sz w:val="24"/>
          <w:szCs w:val="24"/>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
      <w:pPr>
        <w:pStyle w:val="8"/>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服务承诺函</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包括但不限于采购需求书第六点第4条</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br w:type="page"/>
      </w:r>
    </w:p>
    <w:p>
      <w:pPr>
        <w:numPr>
          <w:ilvl w:val="0"/>
          <w:numId w:val="12"/>
        </w:num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供应商拟任本项目负责人必须具有3年以上从事餐饮经营的经验，提供相关证明</w:t>
      </w:r>
      <w:r>
        <w:rPr>
          <w:rFonts w:hint="eastAsia" w:ascii="宋体" w:hAnsi="宋体" w:eastAsia="宋体" w:cs="宋体"/>
          <w:color w:val="auto"/>
          <w:sz w:val="24"/>
          <w:szCs w:val="24"/>
          <w:highlight w:val="none"/>
        </w:rPr>
        <w:br w:type="page"/>
      </w:r>
    </w:p>
    <w:p>
      <w:pPr>
        <w:pStyle w:val="8"/>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项目实施方案</w:t>
      </w:r>
    </w:p>
    <w:p>
      <w:pPr>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9"/>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D07A0038"/>
    <w:multiLevelType w:val="singleLevel"/>
    <w:tmpl w:val="D07A0038"/>
    <w:lvl w:ilvl="0" w:tentative="0">
      <w:start w:val="2"/>
      <w:numFmt w:val="decimal"/>
      <w:suff w:val="space"/>
      <w:lvlText w:val="%1."/>
      <w:lvlJc w:val="left"/>
    </w:lvl>
  </w:abstractNum>
  <w:abstractNum w:abstractNumId="3">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4">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5">
    <w:nsid w:val="FA3DDAB2"/>
    <w:multiLevelType w:val="singleLevel"/>
    <w:tmpl w:val="FA3DDAB2"/>
    <w:lvl w:ilvl="0" w:tentative="0">
      <w:start w:val="1"/>
      <w:numFmt w:val="decimal"/>
      <w:suff w:val="nothing"/>
      <w:lvlText w:val="（%1）"/>
      <w:lvlJc w:val="left"/>
    </w:lvl>
  </w:abstractNum>
  <w:abstractNum w:abstractNumId="6">
    <w:nsid w:val="0C69D465"/>
    <w:multiLevelType w:val="singleLevel"/>
    <w:tmpl w:val="0C69D465"/>
    <w:lvl w:ilvl="0" w:tentative="0">
      <w:start w:val="1"/>
      <w:numFmt w:val="decimal"/>
      <w:lvlText w:val="(%1)"/>
      <w:lvlJc w:val="left"/>
      <w:pPr>
        <w:ind w:left="425" w:hanging="425"/>
      </w:pPr>
      <w:rPr>
        <w:rFonts w:hint="default"/>
      </w:rPr>
    </w:lvl>
  </w:abstractNum>
  <w:abstractNum w:abstractNumId="7">
    <w:nsid w:val="0CDC113B"/>
    <w:multiLevelType w:val="singleLevel"/>
    <w:tmpl w:val="0CDC113B"/>
    <w:lvl w:ilvl="0" w:tentative="0">
      <w:start w:val="8"/>
      <w:numFmt w:val="decimal"/>
      <w:suff w:val="nothing"/>
      <w:lvlText w:val="（%1）"/>
      <w:lvlJc w:val="left"/>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90BC7F7"/>
    <w:multiLevelType w:val="singleLevel"/>
    <w:tmpl w:val="490BC7F7"/>
    <w:lvl w:ilvl="0" w:tentative="0">
      <w:start w:val="1"/>
      <w:numFmt w:val="decimal"/>
      <w:suff w:val="space"/>
      <w:lvlText w:val="%1."/>
      <w:lvlJc w:val="left"/>
    </w:lvl>
  </w:abstractNum>
  <w:abstractNum w:abstractNumId="10">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4"/>
  </w:num>
  <w:num w:numId="2">
    <w:abstractNumId w:val="8"/>
  </w:num>
  <w:num w:numId="3">
    <w:abstractNumId w:val="10"/>
  </w:num>
  <w:num w:numId="4">
    <w:abstractNumId w:val="6"/>
  </w:num>
  <w:num w:numId="5">
    <w:abstractNumId w:val="1"/>
  </w:num>
  <w:num w:numId="6">
    <w:abstractNumId w:val="3"/>
  </w:num>
  <w:num w:numId="7">
    <w:abstractNumId w:val="12"/>
  </w:num>
  <w:num w:numId="8">
    <w:abstractNumId w:val="5"/>
  </w:num>
  <w:num w:numId="9">
    <w:abstractNumId w:val="7"/>
  </w:num>
  <w:num w:numId="10">
    <w:abstractNumId w:val="0"/>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34306B38"/>
    <w:rsid w:val="08D5700D"/>
    <w:rsid w:val="0AB173B0"/>
    <w:rsid w:val="0C43434E"/>
    <w:rsid w:val="0DC56E75"/>
    <w:rsid w:val="0E541704"/>
    <w:rsid w:val="34306B38"/>
    <w:rsid w:val="4B4B609A"/>
    <w:rsid w:val="530A7493"/>
    <w:rsid w:val="54D6046C"/>
    <w:rsid w:val="6F936315"/>
    <w:rsid w:val="78946DB5"/>
    <w:rsid w:val="7C29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Calibri" w:hAnsi="Calibri"/>
      <w:szCs w:val="22"/>
    </w:rPr>
  </w:style>
  <w:style w:type="paragraph" w:styleId="5">
    <w:name w:val="Body Text"/>
    <w:basedOn w:val="1"/>
    <w:next w:val="6"/>
    <w:qFormat/>
    <w:uiPriority w:val="0"/>
    <w:pPr>
      <w:spacing w:line="360" w:lineRule="auto"/>
    </w:pPr>
    <w:rPr>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2">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character" w:styleId="19">
    <w:name w:val="Hyperlink"/>
    <w:basedOn w:val="16"/>
    <w:qFormat/>
    <w:uiPriority w:val="99"/>
    <w:rPr>
      <w:color w:val="0000FF"/>
      <w:u w:val="single"/>
    </w:rPr>
  </w:style>
  <w:style w:type="character" w:styleId="20">
    <w:name w:val="annotation reference"/>
    <w:qFormat/>
    <w:uiPriority w:val="0"/>
    <w:rPr>
      <w:sz w:val="21"/>
      <w:szCs w:val="21"/>
    </w:rPr>
  </w:style>
  <w:style w:type="character" w:customStyle="1" w:styleId="21">
    <w:name w:val="p12"/>
    <w:basedOn w:val="16"/>
    <w:qFormat/>
    <w:uiPriority w:val="0"/>
  </w:style>
  <w:style w:type="paragraph" w:customStyle="1" w:styleId="22">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23">
    <w:name w:val="font21"/>
    <w:basedOn w:val="16"/>
    <w:qFormat/>
    <w:uiPriority w:val="0"/>
    <w:rPr>
      <w:rFonts w:hint="default" w:ascii="Times New Roman" w:hAnsi="Times New Roman" w:cs="Times New Roman"/>
      <w:color w:val="000000"/>
      <w:sz w:val="21"/>
      <w:szCs w:val="21"/>
      <w:u w:val="none"/>
    </w:rPr>
  </w:style>
  <w:style w:type="character" w:customStyle="1" w:styleId="24">
    <w:name w:val="font11"/>
    <w:basedOn w:val="16"/>
    <w:qFormat/>
    <w:uiPriority w:val="0"/>
    <w:rPr>
      <w:rFonts w:hint="eastAsia" w:ascii="宋体" w:hAnsi="宋体" w:eastAsia="宋体" w:cs="宋体"/>
      <w:color w:val="000000"/>
      <w:sz w:val="21"/>
      <w:szCs w:val="21"/>
      <w:u w:val="none"/>
    </w:rPr>
  </w:style>
  <w:style w:type="character" w:customStyle="1" w:styleId="25">
    <w:name w:val="font31"/>
    <w:basedOn w:val="1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34958</Words>
  <Characters>35802</Characters>
  <Lines>0</Lines>
  <Paragraphs>0</Paragraphs>
  <TotalTime>9</TotalTime>
  <ScaleCrop>false</ScaleCrop>
  <LinksUpToDate>false</LinksUpToDate>
  <CharactersWithSpaces>36979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2022-05-18T08:56:00Z</dcterms:created>
  <dc:creator>Rebecca</dc:creator>
  <cp:lastModifiedBy>Rebecca</cp:lastModifiedBy>
  <cp:lastPrinted>2022-05-20T02:32:00Z</cp:lastPrinted>
  <dcterms:modified xsi:type="dcterms:W3CDTF">2022-05-25T00:37:08Z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73BC6642C7594C988707CD64CFD1D65A</vt:lpwstr>
  </property>
</Properties>
</file>