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6660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</w:pPr>
    </w:p>
    <w:p>
      <w:pPr>
        <w:tabs>
          <w:tab w:val="left" w:pos="420"/>
          <w:tab w:val="left" w:pos="6660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谈 判 文 件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5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6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5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pStyle w:val="6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项目名称：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高频电刀</w:t>
      </w:r>
    </w:p>
    <w:p>
      <w:pPr>
        <w:pStyle w:val="5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6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tabs>
          <w:tab w:val="left" w:pos="0"/>
          <w:tab w:val="left" w:pos="426"/>
        </w:tabs>
        <w:wordWrap w:val="0"/>
        <w:spacing w:line="360" w:lineRule="auto"/>
        <w:ind w:firstLine="723" w:firstLineChars="20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20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月</w:t>
      </w:r>
    </w:p>
    <w:p>
      <w:pPr>
        <w:rPr>
          <w:rFonts w:hint="eastAsia"/>
          <w:lang w:eastAsia="zh-CN"/>
        </w:rPr>
      </w:pPr>
    </w:p>
    <w:p>
      <w:pPr>
        <w:pStyle w:val="6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4871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  <w:bookmarkStart w:id="0" w:name="_Toc17594_WPSOffice_Type1"/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 xml:space="preserve"> </w:t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录</w:t>
          </w:r>
        </w:p>
        <w:p>
          <w:pPr>
            <w:pStyle w:val="20"/>
            <w:tabs>
              <w:tab w:val="right" w:leader="dot" w:pos="8306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23e60ae3-7a8d-4af9-b237-b2ec2688e4c8}"/>
              </w:placeholder>
              <w15:color w:val="509DF3"/>
            </w:sdtPr>
            <w:sdtEnd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第一部分 谈判邀请函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2</w:t>
          </w:r>
        </w:p>
        <w:p>
          <w:pPr>
            <w:pStyle w:val="20"/>
            <w:tabs>
              <w:tab w:val="right" w:leader="dot" w:pos="8306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fb6986d5-d4c7-4efd-b5f1-7fa913a231d0}"/>
              </w:placeholder>
              <w15:color w:val="509DF3"/>
            </w:sdtPr>
            <w:sdtEnd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第二部分 采购需求书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6</w:t>
          </w:r>
        </w:p>
        <w:p>
          <w:pPr>
            <w:pStyle w:val="20"/>
            <w:tabs>
              <w:tab w:val="right" w:leader="dot" w:pos="8306"/>
            </w:tabs>
            <w:rPr>
              <w:rFonts w:hint="default" w:ascii="仿宋" w:hAnsi="仿宋" w:eastAsia="仿宋" w:cs="仿宋"/>
              <w:b/>
              <w:bCs/>
              <w:sz w:val="28"/>
              <w:szCs w:val="28"/>
              <w:lang w:val="en-US"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90f722e0-8df3-41a8-a0cb-fc645b1ad85b}"/>
              </w:placeholder>
              <w15:color w:val="509DF3"/>
            </w:sdtPr>
            <w:sdtEnd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第三部分 评分标准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11</w:t>
          </w:r>
        </w:p>
        <w:p>
          <w:pPr>
            <w:pStyle w:val="20"/>
            <w:tabs>
              <w:tab w:val="right" w:leader="dot" w:pos="8306"/>
            </w:tabs>
            <w:rPr>
              <w:rFonts w:hint="default" w:ascii="仿宋" w:hAnsi="仿宋" w:eastAsia="仿宋" w:cs="仿宋"/>
              <w:b/>
              <w:bCs/>
              <w:sz w:val="28"/>
              <w:szCs w:val="28"/>
              <w:lang w:val="en-US" w:eastAsia="zh-CN"/>
            </w:rPr>
          </w:pPr>
          <w:sdt>
            <w:sdtP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id w:val="147474871"/>
              <w:placeholder>
                <w:docPart w:val="{374c8499-bb23-40ff-a681-38061e3be905}"/>
              </w:placeholder>
              <w15:color w:val="509DF3"/>
            </w:sdtPr>
            <w:sdtEndPr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sdtEndPr>
            <w:sdtContent>
              <w:r>
                <w:rPr>
                  <w:rFonts w:hint="eastAsia" w:ascii="仿宋" w:hAnsi="仿宋" w:eastAsia="仿宋" w:cs="仿宋"/>
                  <w:b/>
                  <w:bCs/>
                  <w:kern w:val="2"/>
                  <w:sz w:val="28"/>
                  <w:szCs w:val="28"/>
                  <w:lang w:val="en-US" w:eastAsia="zh-CN" w:bidi="ar-SA"/>
                </w:rPr>
                <w:t>第四部分 报价文件格式</w:t>
              </w:r>
            </w:sdtContent>
          </w:sdt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14</w:t>
          </w:r>
        </w:p>
        <w:bookmarkEnd w:id="0"/>
        <w:p>
          <w:pPr>
            <w:pStyle w:val="20"/>
            <w:tabs>
              <w:tab w:val="right" w:leader="dot" w:pos="8306"/>
            </w:tabs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pPr>
        </w:p>
      </w:sdtContent>
    </w:sdt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  <w:bookmarkStart w:id="1" w:name="_Toc26272340"/>
      <w:bookmarkStart w:id="2" w:name="_Toc25203"/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numPr>
          <w:ilvl w:val="0"/>
          <w:numId w:val="1"/>
        </w:numPr>
        <w:bidi w:val="0"/>
        <w:jc w:val="center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 xml:space="preserve"> </w:t>
      </w:r>
      <w:bookmarkEnd w:id="1"/>
      <w:r>
        <w:rPr>
          <w:rFonts w:hint="eastAsia"/>
          <w:color w:val="auto"/>
          <w:highlight w:val="none"/>
          <w:lang w:eastAsia="zh-CN"/>
        </w:rPr>
        <w:t>谈判邀请函</w:t>
      </w:r>
      <w:bookmarkEnd w:id="2"/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kern w:val="28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28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b/>
          <w:color w:val="auto"/>
          <w:kern w:val="28"/>
          <w:sz w:val="28"/>
          <w:szCs w:val="28"/>
          <w:highlight w:val="none"/>
          <w:lang w:eastAsia="zh-CN"/>
        </w:rPr>
        <w:t>谈判邀请函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项目基本情况</w:t>
      </w:r>
    </w:p>
    <w:p>
      <w:pPr>
        <w:pStyle w:val="13"/>
        <w:widowControl/>
        <w:spacing w:beforeAutospacing="0" w:afterAutospacing="0" w:line="360" w:lineRule="auto"/>
        <w:ind w:firstLine="42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采购方式：院内谈判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综合评审最优法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）</w:t>
      </w:r>
    </w:p>
    <w:p>
      <w:pPr>
        <w:pStyle w:val="13"/>
        <w:widowControl/>
        <w:spacing w:beforeAutospacing="0" w:afterAutospacing="0" w:line="360" w:lineRule="auto"/>
        <w:ind w:firstLine="42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采购需求：</w:t>
      </w:r>
    </w:p>
    <w:tbl>
      <w:tblPr>
        <w:tblStyle w:val="1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2504"/>
        <w:gridCol w:w="2074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119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504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074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预算金额</w:t>
            </w:r>
          </w:p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840" w:type="dxa"/>
            <w:shd w:val="clear" w:color="auto" w:fill="F2F2F2"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119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504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高频电刀</w:t>
            </w:r>
          </w:p>
        </w:tc>
        <w:tc>
          <w:tcPr>
            <w:tcW w:w="2074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280000.00</w:t>
            </w:r>
          </w:p>
        </w:tc>
        <w:tc>
          <w:tcPr>
            <w:tcW w:w="2840" w:type="dxa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3"/>
              <w:widowControl/>
              <w:spacing w:beforeAutospacing="0" w:afterAutospacing="0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采购清单、技术参数详细见附件《谈判文件》</w:t>
            </w:r>
          </w:p>
        </w:tc>
      </w:tr>
    </w:tbl>
    <w:p>
      <w:pPr>
        <w:pStyle w:val="13"/>
        <w:widowControl/>
        <w:numPr>
          <w:ilvl w:val="0"/>
          <w:numId w:val="2"/>
        </w:numPr>
        <w:spacing w:beforeAutospacing="0" w:afterAutospacing="0" w:line="360" w:lineRule="auto"/>
        <w:ind w:firstLine="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  <w:lang w:eastAsia="zh-CN"/>
        </w:rPr>
        <w:t>供应商</w:t>
      </w: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的资格要求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具有合法的法人资格，并在法律、财务上与项目经办人不存在关联关系；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报价设备或服务须在其法定营业范围内； 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提供有效的三证合一的营业执照、医疗器械经营许可证的副本原件； 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单位负责人为同一人或者存在直接控股、管理关系的不同投标人；不得参加同一合同项下的谈判活动。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rightChars="0" w:hanging="480" w:hangingChars="200"/>
        <w:jc w:val="both"/>
        <w:textAlignment w:val="baseline"/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  <w:t>提供偏离情况响应表，必须完全满足带"★"号条款中要求。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递交报价文件截止时间、递交方式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递交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报价文件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</w:rPr>
        <w:t>:00（北京时间）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</w:rPr>
        <w:t>报价文件递交份数：6份（1份正本、5份副本）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报价文件递交方式（以下方式均可）：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电子邮件：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instrText xml:space="preserve"> HYPERLINK "mailto:XXXXX@XXX.com" </w:instrTex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fldChar w:fldCharType="separate"/>
      </w:r>
      <w:r>
        <w:rPr>
          <w:rStyle w:val="19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t>yxzb3959@126.com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  <w:vertAlign w:val="baselin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 林小姐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文件邮寄：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收件人：林小姐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收件电话：0760-88662120-1626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baseline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收件地址：中山市小榄镇菊城大道中65号（小榄人民医院医学装备科）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textAlignment w:val="baseline"/>
        <w:rPr>
          <w:rStyle w:val="18"/>
          <w:rFonts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现场递交：中山市小榄人民医院内科大楼九楼医学装备管理科。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公告期限</w:t>
      </w:r>
    </w:p>
    <w:p>
      <w:pPr>
        <w:pStyle w:val="13"/>
        <w:widowControl/>
        <w:shd w:val="clear" w:color="auto" w:fill="FFFFFF"/>
        <w:spacing w:beforeAutospacing="0" w:afterAutospacing="0" w:line="360" w:lineRule="auto"/>
        <w:ind w:firstLine="420"/>
        <w:textAlignment w:val="baseline"/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自本公告发布之日起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个工作日。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  <w:lang w:eastAsia="zh-CN"/>
        </w:rPr>
        <w:t>报价文件</w:t>
      </w: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  <w:t>要求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2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报名时请各供应商按照以下要求提供完整的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报价文件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，供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进行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  <w:lang w:eastAsia="zh-CN"/>
        </w:rPr>
        <w:t>预审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auto" w:fill="FFFFFF"/>
        </w:rPr>
        <w:t>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报价单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偏离表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法定代表人证明书及其授权委托书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单位负责人为同一人或者存在直接控股、管理关系的不同报价人，不得参加同一合同项下的谈判活动，供应商在参与本次谈判活动中未有围标、串标行为。并出具《无围标、串标行为承诺书》（加盖公章）。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厂家资质证件（包括但不限于营业执照、医疗器械生产许可证等）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各级经销商资质证件（包括但不限于营业执照、医疗器械经营许可证、备案等）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产品医疗器械注册证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售后服务承诺函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产品配置清单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产品彩页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709" w:leftChars="0" w:hanging="709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近三年广东地区三甲医院客户名单（销售合同）等。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注：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以上文件均需盖公章。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供应商需与法人代表（或法定代表人授权委托人）一致。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both"/>
        <w:textAlignment w:val="baseline"/>
        <w:rPr>
          <w:rStyle w:val="18"/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预审通过后，采购人以电子邮件方式通知供应商进入下一阶段流程。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</w:rPr>
      </w:pPr>
      <w:r>
        <w:rPr>
          <w:rStyle w:val="18"/>
          <w:rFonts w:hint="eastAsia" w:ascii="仿宋" w:hAnsi="仿宋" w:eastAsia="仿宋" w:cs="仿宋"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其他补充事宜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hanging="480" w:hangingChars="20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如现场提供资料与电子资料存在不一致，以纸质盖章资料为准。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hanging="480" w:hangingChars="200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本项目不接受联合体响应。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leftChars="0" w:right="0" w:hanging="480" w:hangingChars="200"/>
        <w:textAlignment w:val="baseline"/>
        <w:rPr>
          <w:rStyle w:val="18"/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递交报价文件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截止前，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需提供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完整的报价文件供采购人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预审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，资料不全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或不通过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者，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报名无效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。</w:t>
      </w:r>
    </w:p>
    <w:p>
      <w:pPr>
        <w:pStyle w:val="1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监督部门联系方式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联系人：曾老师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联系电话：0760-88662120-1621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</w:rPr>
        <w:t>地 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中山市小榄镇菊城大道中65号内科大楼九楼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4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中山市小榄人民医院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2022年4月24日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  <w:bookmarkStart w:id="5" w:name="_GoBack"/>
      <w:bookmarkEnd w:id="5"/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  <w:lang w:eastAsia="zh-CN"/>
        </w:rPr>
      </w:pPr>
      <w:bookmarkStart w:id="3" w:name="_Toc26272341"/>
      <w:bookmarkStart w:id="4" w:name="_Toc14672"/>
      <w:r>
        <w:rPr>
          <w:rFonts w:hint="eastAsia"/>
          <w:color w:val="auto"/>
          <w:highlight w:val="none"/>
        </w:rPr>
        <w:t>第二部分　</w:t>
      </w:r>
      <w:bookmarkEnd w:id="3"/>
      <w:r>
        <w:rPr>
          <w:rFonts w:hint="eastAsia"/>
          <w:color w:val="auto"/>
          <w:highlight w:val="none"/>
          <w:lang w:eastAsia="zh-CN"/>
        </w:rPr>
        <w:t>采购需求书</w:t>
      </w:r>
      <w:bookmarkEnd w:id="4"/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C00000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/>
          <w:lang w:eastAsia="zh-CN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28"/>
          <w:sz w:val="32"/>
          <w:szCs w:val="32"/>
          <w14:textFill>
            <w14:solidFill>
              <w14:schemeClr w14:val="tx1"/>
            </w14:solidFill>
          </w14:textFill>
        </w:rPr>
        <w:t>采购需求书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总则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报价应包括标的设备（原装、全新合格的设备）、相关附件、配套设施、税费、运费、保险费、仓储费、安装调试、培训、质保等的全部费用，在项目实施过程中出现报价内容的任何遗漏，均由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负责相关费用，采购人将不再支付任何费用。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中凡有“★”标识的内容条款为关键条款，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必须对此作出回答并完全满足这些要求不可以出现任何负偏离，对这些关键条款的任何负偏离将视为无效投标。加注“▲”的内容为重点评标项目，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必须对该标识项目按照要求进行真实应答描述。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3.本项目不接受联合体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不得以任何方式转包本项目。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4.单位负责人为同一人或者存在直接控股、关联关系的不同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，不得参加同一合同项下的招标活动。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★投标供应商应该符合《医疗器械监督管理条例》规定，如投标供应商为生产厂家，还应该符合《医疗器械生产质量管理规范》规定，如投标供应商为还应符合《医疗器械经营质量管理规范》规定，并结合本项目特性提供有效的医疗器械产品注册/备案证明材料和投标供应商的经营许可/备案证明材料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6.本文的“质保期”是指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标的物经约定的验收机构完成验收之日起算，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承诺的期限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止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基本需求</w:t>
      </w:r>
    </w:p>
    <w:tbl>
      <w:tblPr>
        <w:tblStyle w:val="16"/>
        <w:tblW w:w="7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8"/>
        <w:gridCol w:w="222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9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项目名称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数量（套）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高频电刀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2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280000.00</w:t>
            </w:r>
          </w:p>
        </w:tc>
      </w:tr>
    </w:tbl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用途：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可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直接切除皮肤表面的疤痕，囊肿物，由各种皮肤炎症引起的玫瑰痤疮，酒糟鼻等，也广泛用于面部的各种精细的整形手术的精准治疗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9"/>
        </w:numPr>
        <w:spacing w:before="157" w:beforeLines="50"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技术参数</w:t>
      </w:r>
    </w:p>
    <w:p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电刀的输出频率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1.23Mhz,为射频输出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2.输出模式及输出频率:</w:t>
      </w:r>
    </w:p>
    <w:p>
      <w:pPr>
        <w:spacing w:line="440" w:lineRule="exact"/>
        <w:ind w:firstLine="960" w:firstLineChars="4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①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纯切模式:输出功率80W. </w:t>
      </w:r>
    </w:p>
    <w:p>
      <w:pPr>
        <w:spacing w:line="440" w:lineRule="exact"/>
        <w:ind w:firstLine="960" w:firstLineChars="4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②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混切模式:输出功率70W. </w:t>
      </w:r>
    </w:p>
    <w:p>
      <w:pPr>
        <w:spacing w:line="440" w:lineRule="exact"/>
        <w:ind w:firstLine="960" w:firstLineChars="4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③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接触电凝:输出功率70W. </w:t>
      </w:r>
    </w:p>
    <w:p>
      <w:pPr>
        <w:spacing w:line="440" w:lineRule="exact"/>
        <w:ind w:firstLine="960" w:firstLineChars="4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= 4 \* GB3 \* MERGEFORMAT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④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喷射电凝:输出功率60W. </w:t>
      </w:r>
    </w:p>
    <w:p>
      <w:pPr>
        <w:spacing w:line="440" w:lineRule="exact"/>
        <w:ind w:firstLine="960" w:firstLineChars="4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= 5 \* GB3 \* MERGEFORMAT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⑤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双极电凝:输出功率70W.                 </w:t>
      </w:r>
    </w:p>
    <w:p>
      <w:pPr>
        <w:spacing w:line="440" w:lineRule="exact"/>
        <w:ind w:firstLine="960" w:firstLineChars="4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= 6 \* GB3 \* MERGEFORMAT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输出频率：1.23MHz。</w:t>
      </w:r>
    </w:p>
    <w:p>
      <w:pPr>
        <w:spacing w:line="44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3.智能变频设计：3种不同的输出频率，随不同手术模式自动切换。</w:t>
      </w:r>
    </w:p>
    <w:p>
      <w:pPr>
        <w:spacing w:line="440" w:lineRule="exact"/>
        <w:ind w:firstLine="720" w:firstLineChars="3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①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纯切模式/混切模式   输出频率0.92Mhz</w:t>
      </w:r>
    </w:p>
    <w:p>
      <w:pPr>
        <w:spacing w:line="440" w:lineRule="exact"/>
        <w:ind w:firstLine="720" w:firstLineChars="3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②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接触电凝            输出频率1.23Mhz</w:t>
      </w:r>
    </w:p>
    <w:p>
      <w:pPr>
        <w:spacing w:line="440" w:lineRule="exact"/>
        <w:ind w:firstLine="720" w:firstLineChars="3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③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喷射电凝/双极电凝   输出频率0.46Mhz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4.autorf功能：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单级切割时，电脑会根据不同的组织结构实时测量组织电阻，自动调节RF输出，始终保持最佳的输出功率，减少不必要的组织损伤。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双极凝血时，输出功率随电凝程度和组织的干燥程度而减少，智能自动迅速降到最小值，即最初设定功率的1/4，并自动停止输出,有效防止组织脱水，结痂和疤痕的生成，避免过度电凝产生组织碳化、粘连。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5.不沾型双极电凝镊</w:t>
      </w:r>
    </w:p>
    <w:p>
      <w:pPr>
        <w:spacing w:line="440" w:lineRule="exact"/>
        <w:ind w:firstLine="720" w:firstLineChars="3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镊尖是由特殊合金材料制造，具有极好的导热性能，防止热聚集和组织粘连。高强度的镊杆保证了电凝镊始终如一的张力，长电凝镊配有锁定装置，消除剪刀嘴，多种镊尖宽度及镊杆长度供选择适用于所有的外科手术。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6.钨丝电极</w:t>
      </w:r>
    </w:p>
    <w:p>
      <w:pPr>
        <w:spacing w:line="440" w:lineRule="exact"/>
        <w:ind w:firstLine="720" w:firstLineChars="3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超锋利针尖设计（钨针针尖直径≤0.2mm），可快速切割皮肤及各种组织，避免粘连在低功率下电弧尖端集中放点，瞬间完成中小型血管及毛细血管的封闭，大幅减少手术出血，减少手术并发症。</w:t>
      </w:r>
    </w:p>
    <w:p>
      <w:pPr>
        <w:spacing w:line="440" w:lineRule="exac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快速精准切割分离组织的同时，最大限度的保护周围组织。使术中渗出减少，极大改善手术愈合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7.双脚踏开关</w:t>
      </w:r>
    </w:p>
    <w:p>
      <w:pPr>
        <w:spacing w:line="44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医生可以独自完成切割、凝血模式的切换。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8.中性电极连续检测皮肤的接触情况,发现接触不良自动报警，且停止功率输出.电脑自动检测主机的各种功能,一旦有问题发生, 主机将自动报警。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配置要求：</w:t>
      </w:r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753"/>
        <w:gridCol w:w="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高频电刀主机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一次性负极板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负极板连线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单极电极手柄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可高温高压消毒灭菌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双脚踏开关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不沾型双极电凝镊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可高温高压消毒灭菌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长度11cm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不沾型双极电凝镊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可高温高压消毒灭菌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长度16cm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双极电缆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可高温高压消毒灭菌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整形针状钨丝电极0.3mm直头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可高温高压消毒灭菌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整形针状电极0.4mm直头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可高温高压消毒灭菌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整形针状电极0.4mm弯头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可高温高压消毒灭菌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整形针状电极0.5mm直头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可高温高压消毒灭菌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整形片状电极2.5*20mm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可高温高压消毒灭菌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器械消毒盒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电源线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1条</w:t>
            </w:r>
          </w:p>
        </w:tc>
      </w:tr>
      <w:tr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Lines="0"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相关资质/出厂检测报告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ab/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line="36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</w:tbl>
    <w:p>
      <w:pPr>
        <w:numPr>
          <w:ilvl w:val="0"/>
          <w:numId w:val="9"/>
        </w:numPr>
        <w:spacing w:before="157" w:beforeLines="50" w:line="360" w:lineRule="auto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商务要求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1.交货及安装、验收要求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1.1交货地点：采购人指定地点。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1.2交货期：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应当在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成交通知书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发出之日起30日内按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磋商文件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确定的事项与采购人签订合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同，签订合同后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日内完成设备的安装调试。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须保证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后所提供的设备为原装、全新合格的产品。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负责派技术人员到现场进行安装调试，直至验收合格，安装调试所需费用应包含在投标总报价内；同时提供培训服务，必须保证需求科室操作人员融会贯通，培训所需费用全部包含在总报价内。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1.5验收方式：按《小榄镇镇属医院医疗项目采购和验收管理规定》。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★1.6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须要在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做出具承诺函，该承诺函包括但不限于以下内容: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如项目成交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成交结果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公告发布之日起五个工作日内提供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所投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设备制造厂商开具并盖章的合法有效的授权函原件（盖鲜章）、售后服务承诺函原件（盖鲜章）。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2.售后服务要求</w:t>
      </w:r>
    </w:p>
    <w:p>
      <w:pPr>
        <w:tabs>
          <w:tab w:val="left" w:pos="420"/>
        </w:tabs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必须在中国境内有售后服务机构，并附有售后服务能力说明。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★2.2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成交供应商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须提供设备原厂质保（设备原厂质量保修范围和保修期）至少为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在售后期内，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在接到用户的维修通知，响应时间为半小时内，工程师到达现场时间为4小时内，排除故障时限为到达现场后8小时内。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如果产品故障在检修12小时后仍无法排除，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应在24小时内提供不低于故障产品规格型号档次的备用产品供采购人使用，直至故障产品修复。</w:t>
      </w:r>
    </w:p>
    <w:p>
      <w:pPr>
        <w:spacing w:beforeLines="0" w:line="360" w:lineRule="auto"/>
        <w:ind w:firstLine="482" w:firstLineChars="200"/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3.付款方式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★3.1本合同的每笔款项以人民币转账方式支付，合同设备到采购人指定地点交付并完成安装，验收合格后，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凭：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（1）合同；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（2）验收调试合格报告（加盖采购人公章）；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开具的正式发票（加盖发票专用章）。</w:t>
      </w:r>
    </w:p>
    <w:p>
      <w:pPr>
        <w:spacing w:beforeLines="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★3.2具体付款方式：合同签订后，采购人预付合同总金额的20%款项，同时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须提供相同金额的收款收据；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按合同协议时间提供设备，并经协议规定的验收机构书面确认验收合格后，开具全额发票，采购人确认发票无误后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内支付合同总金额的75%；合同总金额的5%在质保期满后一次性无息退还。</w:t>
      </w: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ind w:firstLine="1767" w:firstLineChars="400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ind w:firstLine="1767" w:firstLineChars="400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第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 xml:space="preserve">部分 </w:t>
      </w:r>
      <w:r>
        <w:rPr>
          <w:rFonts w:hint="eastAsia" w:ascii="宋体" w:hAnsi="宋体" w:cs="宋体"/>
          <w:b/>
          <w:bCs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评分标准</w:t>
      </w: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6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jc w:val="center"/>
        <w:rPr>
          <w:rFonts w:hint="eastAsia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评分标准</w:t>
      </w:r>
    </w:p>
    <w:p>
      <w:pP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分配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总分=技术商务评审+价格评审</w:t>
      </w:r>
    </w:p>
    <w:tbl>
      <w:tblPr>
        <w:tblStyle w:val="16"/>
        <w:tblpPr w:leftFromText="180" w:rightFromText="180" w:vertAnchor="text" w:horzAnchor="page" w:tblpX="1695" w:tblpY="321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3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2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商务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评审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价格评审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912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2913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价格评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</w:p>
    <w:p>
      <w:pPr>
        <w:shd w:val="solid" w:color="FFFFFF" w:fill="auto"/>
        <w:autoSpaceDN w:val="0"/>
        <w:spacing w:after="225" w:line="24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报价得分=（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基准价/最后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报价）×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</w:t>
      </w:r>
    </w:p>
    <w:p>
      <w:pPr>
        <w:shd w:val="solid" w:color="FFFFFF" w:fill="auto"/>
        <w:autoSpaceDN w:val="0"/>
        <w:spacing w:after="225" w:line="240" w:lineRule="auto"/>
        <w:ind w:firstLine="240" w:firstLineChars="1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报价得分四舍五入后，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小数点后保留两位有效数</w:t>
      </w:r>
    </w:p>
    <w:p>
      <w:pPr>
        <w:pStyle w:val="12"/>
        <w:spacing w:line="240" w:lineRule="auto"/>
        <w:ind w:left="0" w:leftChars="0" w:firstLine="240" w:firstLineChars="1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依此计算出所有响应供应商的价格评分。</w:t>
      </w:r>
    </w:p>
    <w:p>
      <w:pPr>
        <w:spacing w:line="44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技术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评审：</w:t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5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45"/>
        <w:gridCol w:w="969"/>
        <w:gridCol w:w="504"/>
        <w:gridCol w:w="617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445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69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评分指标</w:t>
            </w:r>
          </w:p>
        </w:tc>
        <w:tc>
          <w:tcPr>
            <w:tcW w:w="504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6178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评分范围</w:t>
            </w:r>
          </w:p>
        </w:tc>
        <w:tc>
          <w:tcPr>
            <w:tcW w:w="996" w:type="dxa"/>
            <w:shd w:val="clear" w:color="000000" w:fill="D9D9D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供应商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（...）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3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用户需求响应程度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根据投标文件对用户需求书中的条款（即非“★”号条款）响应程度进行评审，完全满足得30分。一项不满足（负偏离）扣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分，扣完为止。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以“技术条款响应表”及应招标要求提供的相关证明材料作为评审依据。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3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设备技术支撑程度和可靠性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根据供应商所投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设备技术支撑程度和可靠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性（技术支撑程度、工作原理先进性，自动化程度、运行稳定性程度）进行评审。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优：所投设备技术可靠性强的，得10分；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良：所投设备技术可靠性较强的，得6分；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中：所投设备技术可靠性一般的，得3分；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差：所投设备的技术可靠性差的，得0分。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3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设备的拓展性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根据供应商所投设备的拓展性（功能是否齐全、能否完好的适应用户环境及需求）进行评审。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优：所投设备的拓展性好的，得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良：所投设备的拓展性较好的，得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中：所投设备的拓展性一般的，得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差：所投设备的拓展性差的，得0分。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设备操作的实用性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根据供应商所投设备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操作便利性、维修简易性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进行评审。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优：所投设备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实用性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强的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良：所投设备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较强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中：所投设备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操作的实用性一般的，得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差：所投设备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操作的实用性差的，得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商务响应情况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根据供应商的投标文件的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响应程度进行评审。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投标文件的响应符合用户需求书的商务要求，得5分；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投标文件部分响应用户需求书的商务要求，得2分；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投标文件的响应较差或无，得0分。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44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969" w:type="dxa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质量保证措施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在用户需求质保期要求的基础上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topLinePunct w:val="0"/>
              <w:bidi w:val="0"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延长1年，得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topLinePunct w:val="0"/>
              <w:bidi w:val="0"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延长2年，得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0"/>
              </w:numPr>
              <w:kinsoku/>
              <w:topLinePunct w:val="0"/>
              <w:bidi w:val="0"/>
              <w:spacing w:line="240" w:lineRule="auto"/>
              <w:ind w:left="425" w:leftChars="0" w:hanging="425" w:firstLineChars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延长3年，得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本项最高得分不超过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分。（延长的质保期须为原厂质保）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8" w:hRule="atLeast"/>
          <w:jc w:val="center"/>
        </w:trPr>
        <w:tc>
          <w:tcPr>
            <w:tcW w:w="1414" w:type="dxa"/>
            <w:gridSpan w:val="2"/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04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6178" w:type="dxa"/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得分合计</w:t>
            </w:r>
          </w:p>
        </w:tc>
        <w:tc>
          <w:tcPr>
            <w:tcW w:w="996" w:type="dxa"/>
            <w:shd w:val="clear" w:color="000000" w:fill="FFFFFF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jc w:val="center"/>
        <w:rPr>
          <w:rFonts w:hint="eastAsia"/>
          <w:color w:val="auto"/>
          <w:highlight w:val="none"/>
        </w:rPr>
      </w:pPr>
    </w:p>
    <w:p>
      <w:pPr>
        <w:pStyle w:val="3"/>
        <w:bidi w:val="0"/>
        <w:ind w:firstLine="1767" w:firstLineChars="400"/>
        <w:jc w:val="both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第</w:t>
      </w:r>
      <w:r>
        <w:rPr>
          <w:rFonts w:hint="eastAsia"/>
          <w:color w:val="auto"/>
          <w:highlight w:val="none"/>
          <w:lang w:val="en-US" w:eastAsia="zh-CN"/>
        </w:rPr>
        <w:t>四</w:t>
      </w:r>
      <w:r>
        <w:rPr>
          <w:rFonts w:hint="eastAsia"/>
          <w:color w:val="auto"/>
          <w:highlight w:val="none"/>
        </w:rPr>
        <w:t>部分　</w:t>
      </w:r>
      <w:r>
        <w:rPr>
          <w:rFonts w:hint="eastAsia"/>
          <w:color w:val="auto"/>
          <w:highlight w:val="none"/>
          <w:lang w:val="en-US" w:eastAsia="zh-CN"/>
        </w:rPr>
        <w:t>报价文件格式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 w:eastAsia="宋体"/>
          <w:sz w:val="24"/>
          <w:szCs w:val="24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pStyle w:val="5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2"/>
        <w:rPr>
          <w:rFonts w:hint="eastAsia"/>
          <w:sz w:val="24"/>
          <w:szCs w:val="24"/>
        </w:rPr>
      </w:pPr>
    </w:p>
    <w:p>
      <w:pPr>
        <w:pStyle w:val="6"/>
        <w:rPr>
          <w:rFonts w:hint="eastAsia"/>
          <w:sz w:val="24"/>
          <w:szCs w:val="24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报价单</w:t>
      </w:r>
    </w:p>
    <w:p>
      <w:pPr>
        <w:spacing w:line="440" w:lineRule="exact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致中山市小榄人民医院：</w:t>
      </w:r>
    </w:p>
    <w:tbl>
      <w:tblPr>
        <w:tblStyle w:val="16"/>
        <w:tblpPr w:leftFromText="180" w:rightFromText="180" w:vertAnchor="text" w:horzAnchor="page" w:tblpX="1935" w:tblpY="39"/>
        <w:tblOverlap w:val="never"/>
        <w:tblW w:w="8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设备型号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厂家/品牌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产地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质保期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数量（套）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单价（元）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4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总价（元）</w:t>
            </w:r>
          </w:p>
        </w:tc>
        <w:tc>
          <w:tcPr>
            <w:tcW w:w="595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报价时间：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color w:val="0000FF"/>
          <w:sz w:val="28"/>
          <w:szCs w:val="28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参数偏离情况表</w:t>
      </w:r>
    </w:p>
    <w:p>
      <w:pPr>
        <w:spacing w:line="44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填写要求：</w:t>
      </w:r>
    </w:p>
    <w:p>
      <w:pPr>
        <w:spacing w:line="4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1、请按用户需求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要求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逐条响应</w:t>
      </w:r>
      <w:r>
        <w:rPr>
          <w:rFonts w:hint="eastAsia" w:ascii="仿宋" w:hAnsi="仿宋" w:eastAsia="仿宋" w:cs="仿宋"/>
          <w:sz w:val="24"/>
          <w:szCs w:val="24"/>
        </w:rPr>
        <w:t>，正负偏离参数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sz w:val="24"/>
          <w:szCs w:val="24"/>
        </w:rPr>
        <w:t>备注说明。</w:t>
      </w:r>
    </w:p>
    <w:p>
      <w:pPr>
        <w:spacing w:line="4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、其中带★的参数是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必须完全响应</w:t>
      </w:r>
      <w:r>
        <w:rPr>
          <w:rFonts w:hint="eastAsia" w:ascii="仿宋" w:hAnsi="仿宋" w:eastAsia="仿宋" w:cs="仿宋"/>
          <w:sz w:val="24"/>
          <w:szCs w:val="24"/>
        </w:rPr>
        <w:t>的参数。</w:t>
      </w:r>
    </w:p>
    <w:p>
      <w:pPr>
        <w:spacing w:line="44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3、所投产品的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参数满足率≥90%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numPr>
          <w:ilvl w:val="0"/>
          <w:numId w:val="11"/>
        </w:num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技术要求：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（请按用户需求里的技术要求及配置要求逐条响应）</w:t>
      </w:r>
    </w:p>
    <w:p>
      <w:pPr>
        <w:pStyle w:val="2"/>
        <w:rPr>
          <w:rFonts w:hint="eastAsia"/>
        </w:rPr>
      </w:pPr>
    </w:p>
    <w:tbl>
      <w:tblPr>
        <w:tblStyle w:val="15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18"/>
        <w:gridCol w:w="4736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01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技术参数项目</w:t>
            </w: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8" w:type="dxa"/>
            <w:vMerge w:val="restart"/>
            <w:shd w:val="clear" w:color="000000" w:fill="FFFFFF"/>
            <w:noWrap/>
            <w:vAlign w:val="center"/>
          </w:tcPr>
          <w:p>
            <w:pPr>
              <w:spacing w:line="360" w:lineRule="auto"/>
              <w:ind w:left="-1" w:leftChars="-29" w:hanging="60" w:hangingChars="25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详细参数要求</w:t>
            </w:r>
          </w:p>
          <w:p>
            <w:pPr>
              <w:spacing w:line="360" w:lineRule="auto"/>
              <w:ind w:left="709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电刀的输出频率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1.23Mhz,为射频输出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2.输出模式及输出频率: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纯切模式:输出功率80W.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混切模式:输出功率70W.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接触电凝:输出功率70W.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4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喷射电凝:输出功率60W.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5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双极电凝:输出功率70W.                 </w:t>
            </w:r>
          </w:p>
          <w:p>
            <w:pPr>
              <w:tabs>
                <w:tab w:val="left" w:pos="420"/>
                <w:tab w:val="left" w:pos="720"/>
              </w:tabs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6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输出频率：1.23MHz。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3.智能变频设计：3种不同的输出频率，随不同手术模式自动切换。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纯切模式/混切模式   输出频率0.92Mhz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接触电凝            输出频率1.23Mhz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喷射电凝/双极电凝   输出频率0.46Mhz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4.autorf功能：</w:t>
            </w:r>
          </w:p>
          <w:p>
            <w:pPr>
              <w:spacing w:line="440" w:lineRule="exact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单级切割时，电脑会根据不同的组织结构实时测量组织电阻，自动调节RF输出，始终保持最佳的输出功率，减少不必要的组织损伤。</w:t>
            </w:r>
          </w:p>
          <w:p>
            <w:pPr>
              <w:tabs>
                <w:tab w:val="left" w:pos="0"/>
              </w:tabs>
              <w:spacing w:line="40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双极凝血时，输出功率随电凝程度和组织的干燥程度而减少，智能自动迅速降到最小值，即最初设定功率的1/4，并自动停止输出,有效防止组织脱水，结痂和疤痕的生成，避免过度电凝产生组织碳化、粘连。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5.不沾型双极电凝镊</w:t>
            </w:r>
          </w:p>
          <w:p>
            <w:pPr>
              <w:tabs>
                <w:tab w:val="left" w:pos="0"/>
              </w:tabs>
              <w:spacing w:line="40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镊尖是由特殊合金材料制造，具有极好的导热性能，防止热聚集和组织粘连。高强度的镊杆保证了电凝镊始终如一的张力，长电凝镊配有锁定装置，消除剪刀嘴，多种镊尖宽度及镊杆长度供选择适用于所有的外科手术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6.钨丝电极</w:t>
            </w:r>
          </w:p>
          <w:p>
            <w:pPr>
              <w:spacing w:line="440" w:lineRule="exact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超锋利针尖设计（钨针针尖直径≤0.2mm），可快速切割皮肤及各种组织，避免粘连在低功率下电弧尖端集中放点，瞬间完成中小型血管及毛细血管的封闭，大幅减少手术出血，减少手术并发症。</w:t>
            </w:r>
          </w:p>
          <w:p>
            <w:pPr>
              <w:spacing w:line="44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快速精准切割分离组织的同时，最大限度的保护周围组织。使术中渗出减少，极大改善手术愈合。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7.双脚踏开关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医生可以独自完成切割、凝血模式的切换。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18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8.中性电极连续检测皮肤的接触情况,发现接触不良自动报警，且停止功率输出.电脑自动检测主机的各种功能,一旦有问题发生, 主机将自动报警。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18" w:type="dxa"/>
            <w:shd w:val="clear" w:color="000000" w:fill="FFFFFF"/>
            <w:noWrap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配置清单要求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736" w:type="dxa"/>
            <w:shd w:val="clear" w:color="000000" w:fill="FFFFFF"/>
            <w:noWrap/>
            <w:vAlign w:val="center"/>
          </w:tcPr>
          <w:tbl>
            <w:tblPr>
              <w:tblStyle w:val="15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6"/>
              <w:gridCol w:w="2913"/>
              <w:gridCol w:w="80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高频电刀主机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1台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一次性负极板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20片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负极板连线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1条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单极电极手柄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可高温高压消毒灭菌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  <w:t xml:space="preserve">2 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把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双脚踏开关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1个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不沾型双极电凝镊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可高温高压消毒灭菌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），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  <w:t>长度11cm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  <w:t>把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不沾型双极电凝镊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可高温高压消毒灭菌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），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  <w:t>长度16cm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  <w:t>把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双极电缆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可高温高压消毒灭菌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2条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整形针状钨丝电极0.3mm直头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可高温高压消毒灭菌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  <w:t>1个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整形针状电极0.4mm直头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可高温高压消毒灭菌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2根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11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整形针状电极0.4mm弯头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可高温高压消毒灭菌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2根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12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整形针状电极0.5mm直头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可高温高压消毒灭菌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2根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13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整形片状电极2.5*20mm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可高温高压消毒灭菌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eastAsia="zh-CN"/>
                    </w:rPr>
                    <w:t>）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2根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14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器械消毒盒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1个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6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15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电源线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16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台车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5" w:hRule="atLeast"/>
                <w:jc w:val="center"/>
              </w:trPr>
              <w:tc>
                <w:tcPr>
                  <w:tcW w:w="7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17</w:t>
                  </w:r>
                </w:p>
              </w:tc>
              <w:tc>
                <w:tcPr>
                  <w:tcW w:w="29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beforeLines="0" w:line="360" w:lineRule="auto"/>
                    <w:jc w:val="center"/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相关资质/出厂检测报告</w:t>
                  </w:r>
                </w:p>
              </w:tc>
              <w:tc>
                <w:tcPr>
                  <w:tcW w:w="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Lines="0" w:line="360" w:lineRule="auto"/>
                    <w:jc w:val="both"/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1套</w:t>
                  </w:r>
                </w:p>
              </w:tc>
            </w:tr>
          </w:tbl>
          <w:p>
            <w:pPr>
              <w:tabs>
                <w:tab w:val="left" w:pos="420"/>
                <w:tab w:val="left" w:pos="1089"/>
              </w:tabs>
              <w:spacing w:line="400" w:lineRule="exact"/>
              <w:ind w:left="420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spacing w:line="34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numPr>
          <w:ilvl w:val="0"/>
          <w:numId w:val="11"/>
        </w:numPr>
        <w:tabs>
          <w:tab w:val="left" w:pos="720"/>
        </w:tabs>
        <w:spacing w:line="340" w:lineRule="exact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商务要求：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（请按用户需求里的商务要求逐条响应）</w:t>
      </w:r>
    </w:p>
    <w:tbl>
      <w:tblPr>
        <w:tblStyle w:val="15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pacing w:beforeLines="0" w:line="360" w:lineRule="auto"/>
              <w:ind w:firstLine="482" w:firstLineChars="20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交货及安装、验收要求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1.1交货地点：采购人指定地点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1.2交货期：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应当在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成交通知书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发出之日起30日内按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磋商文件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响应文件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确定的事项与采购人签订合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同，签订合同后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日内完成设备的安装调试。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须保证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后所提供的设备为原装、全新合格的产品。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负责派技术人员到现场进行安装调试，直至验收合格，安装调试所需费用应包含在投标总报价内；同时提供培训服务，必须保证需求科室操作人员融会贯通，培训所需费用全部包含在总报价内。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1.5验收方式：按《小榄镇镇属医院医疗项目采购和验收管理规定》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★1.6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须要在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响应文件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做出具承诺函，该承诺函包括但不限于以下内容: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如项目成交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成交结果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公告发布之日起五个工作日内提供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所投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设备制造厂商开具并盖章的合法有效的授权函原件（盖鲜章）、售后服务承诺函原件（盖鲜章）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售后服务要求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必须在中国境内有售后服务机构，并附有售后服务能力说明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★2.2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须提供设备原厂质保（设备原厂质量保修范围和保修期）至少为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在售后期内，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在接到用户的维修通知，响应时间为半小时内，工程师到达现场时间为4小时内，排除故障时限为到达现场后8小时内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如果产品故障在检修12小时后仍无法排除，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应在24小时内提供不低于故障产品规格型号档次的备用产品供采购人使用，直至故障产品修复。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★3.1本合同的每笔款项以人民币转账方式支付，合同设备到采购人指定地点交付并完成安装，验收合格后，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凭：</w:t>
            </w:r>
          </w:p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（1）合同；</w:t>
            </w:r>
          </w:p>
          <w:p>
            <w:pPr>
              <w:spacing w:beforeLines="0" w:line="240" w:lineRule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（2）验收调试合格报告（加盖采购人公章）；</w:t>
            </w:r>
          </w:p>
          <w:p>
            <w:pPr>
              <w:tabs>
                <w:tab w:val="left" w:pos="420"/>
                <w:tab w:val="left" w:pos="720"/>
              </w:tabs>
              <w:spacing w:line="24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开具的正式发票（加盖发票专用章）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spacing w:beforeLines="0" w:line="240" w:lineRule="auto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★3.2具体付款方式：合同签订后，采购人预付合同总金额的20%款项，同时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须提供相同金额的收款收据；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成交供应商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按合同协议时间提供设备，并经协议规定的验收机构书面确认验收合格后，开具全额发票，采购人确认发票无误后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内支付合同总金额的75%；合同总金额的5%在质保期满后一次性无息退还。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法定代表人证明书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470" w:firstLineChars="196"/>
        <w:rPr>
          <w:rFonts w:ascii="宋体" w:hAnsi="宋体"/>
          <w:sz w:val="24"/>
        </w:rPr>
      </w:pPr>
    </w:p>
    <w:p>
      <w:pPr>
        <w:spacing w:line="480" w:lineRule="exact"/>
        <w:ind w:firstLine="468" w:firstLineChars="1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姓名：      </w:t>
      </w:r>
      <w:r>
        <w:rPr>
          <w:rFonts w:hint="eastAsia" w:ascii="宋体" w:hAnsi="宋体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</w:rPr>
        <w:t xml:space="preserve"> 性别：   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 年龄： </w:t>
      </w:r>
    </w:p>
    <w:p>
      <w:pPr>
        <w:spacing w:line="480" w:lineRule="exact"/>
        <w:ind w:firstLine="468" w:firstLineChars="195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4"/>
        </w:rPr>
        <w:t xml:space="preserve">  职务：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4"/>
        </w:rPr>
        <w:t>的法定代表人。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955" w:firstLineChars="39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特此证明！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单位（盖章）：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日期：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>
      <w:pPr>
        <w:spacing w:line="480" w:lineRule="exac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ascii="宋体" w:hAnsi="宋体" w:cs="宋体"/>
          <w:b w:val="0"/>
          <w:bCs w:val="0"/>
          <w:i w:val="0"/>
          <w:iCs w:val="0"/>
          <w:color w:val="auto"/>
          <w:sz w:val="21"/>
          <w:szCs w:val="21"/>
          <w:highlight w:val="none"/>
          <w:u w:val="non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518795</wp:posOffset>
                </wp:positionV>
                <wp:extent cx="5434965" cy="2601595"/>
                <wp:effectExtent l="4445" t="4445" r="8890" b="22860"/>
                <wp:wrapSquare wrapText="bothSides"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4965" cy="26015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b w:val="0"/>
                                <w:bCs w:val="0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（附法定代表人身份证正、反面）</w:t>
                            </w:r>
                          </w:p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pt;margin-top:40.85pt;height:204.85pt;width:427.95pt;mso-wrap-distance-bottom:0pt;mso-wrap-distance-left:9.05pt;mso-wrap-distance-right:9.05pt;mso-wrap-distance-top:0pt;z-index:251660288;mso-width-relative:page;mso-height-relative:page;" fillcolor="#FFFFFF" filled="t" stroked="t" coordsize="21600,21600" o:gfxdata="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2+vZ2AAAAAkBAAAPAAAAAAAAAAEAIAAAACIAAABkcnMvZG93bnJldi54bWxQSwEC&#10;FAAUAAAACACHTuJAH4EtKGYCAACsBAAADgAAAAAAAAABACAAAAAn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b w:val="0"/>
                          <w:bCs w:val="0"/>
                          <w:szCs w:val="21"/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（附法定代表人身份证正、反面）</w:t>
                      </w:r>
                    </w:p>
                    <w:p>
                      <w:pPr>
                        <w:jc w:val="center"/>
                        <w:rPr>
                          <w:b w:val="0"/>
                          <w:bCs w:val="0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2"/>
        <w:ind w:left="0" w:leftChars="0" w:firstLine="0" w:firstLineChars="0"/>
        <w:rPr>
          <w:rFonts w:ascii="宋体" w:hAnsi="宋体"/>
          <w:sz w:val="24"/>
        </w:rPr>
      </w:pPr>
    </w:p>
    <w:p>
      <w:pPr>
        <w:pStyle w:val="2"/>
        <w:rPr>
          <w:rFonts w:ascii="宋体" w:hAnsi="宋体"/>
          <w:sz w:val="24"/>
        </w:rPr>
      </w:pP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法定代表人授权委托书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中山市小榄人民医院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兹授权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同志，为我方签订经济合同及办理其他事务代理人，其权限是：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                                 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 xml:space="preserve">授权单位（盖章）：  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（签名或盖私章）：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日期：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附：代理人性别：        年龄：       职务：         身份证号码：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联系电话：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统一社会信用代码：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说明：1、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为企业事业单位、国家机关、社会团体的主要行政负责人。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2、此处所述“法定代表人”，须与供应商“营业执照”上的内容一致。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 xml:space="preserve">      3、内容必须填写真实、清楚、涂改无效，不得转让、买卖。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4、将此证明书提交对方作为合同附件。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5、授权权限：全权代表本公司参与上述采购项目的报价，负责提供与签署确认一切文书资料，以及向贵方递交的任何补充承诺。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6" w:firstLineChars="307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6、签字代表为法定代表人，则本表不适用。</w:t>
      </w:r>
    </w:p>
    <w:p>
      <w:pPr>
        <w:pStyle w:val="5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7、身份证复印件或扫描件须在有效期内。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36" w:firstLineChars="307"/>
        <w:textAlignment w:val="auto"/>
        <w:rPr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8、有效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期限：与本公司报价文件中标注的投标有效期相同，自本单位盖公章之日起生效。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ascii="宋体" w:hAnsi="宋体" w:cs="宋体"/>
          <w:b w:val="0"/>
          <w:bCs w:val="0"/>
          <w:i w:val="0"/>
          <w:iCs w:val="0"/>
          <w:color w:val="auto"/>
          <w:sz w:val="21"/>
          <w:szCs w:val="21"/>
          <w:highlight w:val="none"/>
          <w:u w:val="none"/>
        </w:rPr>
        <mc:AlternateContent>
          <mc:Choice Requires="wps">
            <w:drawing>
              <wp:inline distT="0" distB="0" distL="114935" distR="114935">
                <wp:extent cx="5765165" cy="2400300"/>
                <wp:effectExtent l="4445" t="4445" r="21590" b="14605"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165" cy="2400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b w:val="0"/>
                                <w:bCs w:val="0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 w:val="0"/>
                                <w:bCs w:val="0"/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>受托人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</w:rPr>
                              <w:t>身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</w:rPr>
                              <w:t>份证正面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  <w:lang w:val="en-US"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szCs w:val="21"/>
                              </w:rPr>
                              <w:t>反面</w:t>
                            </w:r>
                            <w:r>
                              <w:rPr>
                                <w:rFonts w:hint="eastAsia" w:hAnsi="宋体"/>
                                <w:b w:val="0"/>
                                <w:bCs w:val="0"/>
                                <w:szCs w:val="21"/>
                              </w:rPr>
                              <w:t>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189pt;width:453.95pt;" fillcolor="#FFFFFF" filled="t" stroked="t" coordsize="21600,21600" o:gfxdata="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mrvztUAAAAFAQAADwAAAAAAAAABACAAAAAiAAAAZHJzL2Rvd25yZXYueG1sUEsBAhQA&#10;FAAAAAgAh07iQLIEa4VnAgAArAQAAA4AAAAAAAAAAQAgAAAAJA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b w:val="0"/>
                          <w:bCs w:val="0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b w:val="0"/>
                          <w:bCs w:val="0"/>
                          <w:szCs w:val="21"/>
                        </w:rPr>
                      </w:pP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  <w:lang w:val="en-US" w:eastAsia="zh-CN"/>
                        </w:rPr>
                        <w:t>受托人</w:t>
                      </w: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</w:rPr>
                        <w:t>身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</w:rPr>
                        <w:t>份证正面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  <w:lang w:val="en-US" w:eastAsia="zh-CN"/>
                        </w:rPr>
                        <w:t>和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szCs w:val="21"/>
                        </w:rPr>
                        <w:t>反面</w:t>
                      </w:r>
                      <w:r>
                        <w:rPr>
                          <w:rFonts w:hint="eastAsia" w:hAnsi="宋体"/>
                          <w:b w:val="0"/>
                          <w:bCs w:val="0"/>
                          <w:szCs w:val="21"/>
                        </w:rPr>
                        <w:t>复印件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eepNext/>
        <w:keepLines/>
        <w:pageBreakBefore w:val="0"/>
        <w:widowControl w:val="0"/>
        <w:tabs>
          <w:tab w:val="center" w:pos="4450"/>
          <w:tab w:val="left" w:pos="6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无围标、串标行为</w:t>
      </w:r>
      <w:r>
        <w:rPr>
          <w:rFonts w:hint="eastAsia" w:ascii="宋体" w:hAnsi="宋体" w:eastAsia="宋体" w:cs="宋体"/>
          <w:lang w:eastAsia="zh-CN"/>
        </w:rPr>
        <w:t>声明函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本公司郑重</w:t>
      </w:r>
      <w:r>
        <w:rPr>
          <w:rFonts w:hint="eastAsia" w:ascii="宋体" w:hAnsi="宋体" w:eastAsia="宋体" w:cs="宋体"/>
          <w:sz w:val="24"/>
          <w:lang w:eastAsia="zh-CN"/>
        </w:rPr>
        <w:t>声明</w:t>
      </w:r>
      <w:r>
        <w:rPr>
          <w:rFonts w:hint="eastAsia" w:ascii="宋体" w:hAnsi="宋体" w:eastAsia="宋体" w:cs="宋体"/>
          <w:sz w:val="24"/>
        </w:rPr>
        <w:t>本公司在参加本次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中山市小榄人民医院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高频电刀 </w:t>
      </w:r>
      <w:r>
        <w:rPr>
          <w:rFonts w:hint="eastAsia" w:ascii="宋体" w:hAnsi="宋体" w:cs="宋体"/>
          <w:sz w:val="24"/>
          <w:u w:val="none"/>
          <w:lang w:val="en-US" w:eastAsia="zh-CN"/>
        </w:rPr>
        <w:t>谈判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项目</w:t>
      </w:r>
      <w:r>
        <w:rPr>
          <w:rFonts w:hint="eastAsia" w:ascii="宋体" w:hAnsi="宋体" w:eastAsia="宋体" w:cs="宋体"/>
          <w:sz w:val="24"/>
        </w:rPr>
        <w:t>采购活动中，无以下围标、串标行为。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由同一单位或者个人编制；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不同供应商委托同一单位或者个人办理响应事宜；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载明的项目管理成员或者联系人员为同一人；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异常一致或者响应报价呈规律性差异；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</w:t>
      </w:r>
      <w:r>
        <w:rPr>
          <w:rFonts w:hint="eastAsia" w:ascii="宋体" w:hAnsi="宋体" w:cs="宋体"/>
          <w:sz w:val="24"/>
          <w:lang w:eastAsia="zh-CN"/>
        </w:rPr>
        <w:t>报价文件</w:t>
      </w:r>
      <w:r>
        <w:rPr>
          <w:rFonts w:hint="eastAsia" w:ascii="宋体" w:hAnsi="宋体" w:eastAsia="宋体" w:cs="宋体"/>
          <w:sz w:val="24"/>
        </w:rPr>
        <w:t>相互混装；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不同供应商的董事、监事、高管、单位负责人为同一人或者存在控股、管理关系的不同单位参加同一包组项目；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200" w:hanging="425" w:firstLineChars="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法律法规界定的其他围标串标行为。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如有发现我公司存在围标、串标行为，我公司愿承担一切法律责任。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特此</w:t>
      </w:r>
      <w:r>
        <w:rPr>
          <w:rFonts w:hint="eastAsia" w:ascii="宋体" w:hAnsi="宋体" w:eastAsia="宋体" w:cs="宋体"/>
          <w:sz w:val="24"/>
          <w:lang w:eastAsia="zh-CN"/>
        </w:rPr>
        <w:t>声明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  <w:vertAlign w:val="baseline"/>
        </w:rPr>
      </w:pPr>
      <w:r>
        <w:rPr>
          <w:rFonts w:hint="eastAsia" w:ascii="宋体" w:hAnsi="宋体" w:eastAsia="宋体" w:cs="宋体"/>
          <w:sz w:val="24"/>
        </w:rPr>
        <w:t xml:space="preserve">                    </w:t>
      </w:r>
    </w:p>
    <w:p>
      <w:pPr>
        <w:spacing w:before="156" w:beforeLines="50" w:after="156" w:afterLines="50" w:line="360" w:lineRule="auto"/>
        <w:rPr>
          <w:rFonts w:hint="eastAsia"/>
        </w:rPr>
      </w:pPr>
      <w:r>
        <w:rPr>
          <w:rFonts w:hint="eastAsia" w:ascii="宋体" w:hAnsi="宋体" w:eastAsia="宋体" w:cs="宋体"/>
          <w:sz w:val="24"/>
        </w:rPr>
        <w:t>供应商名称（加盖公章）：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法定代表人或其委托人签字：</w:t>
      </w:r>
    </w:p>
    <w:p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年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widowControl w:val="0"/>
        <w:numPr>
          <w:ilvl w:val="0"/>
          <w:numId w:val="0"/>
        </w:numPr>
        <w:tabs>
          <w:tab w:val="left" w:pos="420"/>
        </w:tabs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资料包括： 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（1）报价单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（2）偏离表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（3）法定代表人证明书及其授权委托书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单位负责人为同一人或者存在直接控股、管理关系的不同报价人，不得参加同一合同项下的谈判活动，供应商在参与本次谈判活动中未有围标、串标行为。并出具《无围标、串标行为承诺书》（加盖公章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（5）厂家资质证件（包括但不限于营业执照、医疗器械生产许可证等）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（6）各级经销商资质证件（包括但不限于营业执照、医疗器械经营许可证、备案等）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（7）产品医疗器械注册证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（8）售后服务承诺函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（9）产品配置清单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（10）产品彩页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（11）近三年广东地区三甲医院客户名单（销售合同）等。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(1)以上文件均需盖公章。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(2)供应商需与法人代表（或法定代表人授权委托人）一致。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(3)预审通过后，采购人以电子邮件方式通知供应商进入下一阶段流程。</w:t>
      </w: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3B281"/>
    <w:multiLevelType w:val="singleLevel"/>
    <w:tmpl w:val="A2B3B281"/>
    <w:lvl w:ilvl="0" w:tentative="0">
      <w:start w:val="1"/>
      <w:numFmt w:val="decimal"/>
      <w:suff w:val="nothing"/>
      <w:lvlText w:val="（%1）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1">
    <w:nsid w:val="B3C7ADBE"/>
    <w:multiLevelType w:val="singleLevel"/>
    <w:tmpl w:val="B3C7ADBE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DA5B547"/>
    <w:multiLevelType w:val="singleLevel"/>
    <w:tmpl w:val="EDA5B54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FBCC3122"/>
    <w:multiLevelType w:val="singleLevel"/>
    <w:tmpl w:val="FBCC31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C69D465"/>
    <w:multiLevelType w:val="singleLevel"/>
    <w:tmpl w:val="0C69D46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EACC89E"/>
    <w:multiLevelType w:val="singleLevel"/>
    <w:tmpl w:val="1EACC89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37DAE8FC"/>
    <w:multiLevelType w:val="singleLevel"/>
    <w:tmpl w:val="37DAE8FC"/>
    <w:lvl w:ilvl="0" w:tentative="0">
      <w:start w:val="1"/>
      <w:numFmt w:val="decimal"/>
      <w:suff w:val="space"/>
      <w:lvlText w:val="2.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8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DDA7DA9"/>
    <w:multiLevelType w:val="singleLevel"/>
    <w:tmpl w:val="4DDA7DA9"/>
    <w:lvl w:ilvl="0" w:tentative="0">
      <w:start w:val="1"/>
      <w:numFmt w:val="decimal"/>
      <w:lvlText w:val="3.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0">
    <w:nsid w:val="6FEF5E58"/>
    <w:multiLevelType w:val="singleLevel"/>
    <w:tmpl w:val="6FEF5E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72E2BE85"/>
    <w:multiLevelType w:val="singleLevel"/>
    <w:tmpl w:val="72E2BE85"/>
    <w:lvl w:ilvl="0" w:tentative="0">
      <w:start w:val="1"/>
      <w:numFmt w:val="decimal"/>
      <w:lvlText w:val="6.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09F4"/>
    <w:rsid w:val="017A03BD"/>
    <w:rsid w:val="04F95742"/>
    <w:rsid w:val="0C647663"/>
    <w:rsid w:val="0CAA4F82"/>
    <w:rsid w:val="0CBD4786"/>
    <w:rsid w:val="10EF00F3"/>
    <w:rsid w:val="12251A76"/>
    <w:rsid w:val="15672590"/>
    <w:rsid w:val="172D156F"/>
    <w:rsid w:val="18E44580"/>
    <w:rsid w:val="18E706A9"/>
    <w:rsid w:val="1A475CB0"/>
    <w:rsid w:val="1B394FE3"/>
    <w:rsid w:val="1B626DED"/>
    <w:rsid w:val="1B7109F4"/>
    <w:rsid w:val="20DC30D9"/>
    <w:rsid w:val="24EF4059"/>
    <w:rsid w:val="26415CA9"/>
    <w:rsid w:val="2751016E"/>
    <w:rsid w:val="2D1D058B"/>
    <w:rsid w:val="2DD56DC9"/>
    <w:rsid w:val="2F5510CD"/>
    <w:rsid w:val="31566D84"/>
    <w:rsid w:val="33697E65"/>
    <w:rsid w:val="347418D4"/>
    <w:rsid w:val="36C758BB"/>
    <w:rsid w:val="37D72D85"/>
    <w:rsid w:val="38C029F2"/>
    <w:rsid w:val="3B417724"/>
    <w:rsid w:val="3D6217FA"/>
    <w:rsid w:val="3DAC0808"/>
    <w:rsid w:val="41B17D2F"/>
    <w:rsid w:val="43CE77D7"/>
    <w:rsid w:val="45332E18"/>
    <w:rsid w:val="47BF5C91"/>
    <w:rsid w:val="47EF67CA"/>
    <w:rsid w:val="4AC41010"/>
    <w:rsid w:val="4C7D50DD"/>
    <w:rsid w:val="4DD87D99"/>
    <w:rsid w:val="505712E6"/>
    <w:rsid w:val="575360F3"/>
    <w:rsid w:val="582C4A60"/>
    <w:rsid w:val="5FD924D3"/>
    <w:rsid w:val="6499204D"/>
    <w:rsid w:val="66FB5425"/>
    <w:rsid w:val="6FFA2883"/>
    <w:rsid w:val="708B2081"/>
    <w:rsid w:val="714552F4"/>
    <w:rsid w:val="723810AB"/>
    <w:rsid w:val="7737049B"/>
    <w:rsid w:val="77632F33"/>
    <w:rsid w:val="7B4F58E7"/>
    <w:rsid w:val="7BB64C58"/>
    <w:rsid w:val="7E2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Body Text"/>
    <w:basedOn w:val="1"/>
    <w:next w:val="6"/>
    <w:qFormat/>
    <w:uiPriority w:val="0"/>
    <w:pPr>
      <w:spacing w:line="360" w:lineRule="auto"/>
    </w:pPr>
    <w:rPr>
      <w:szCs w:val="20"/>
    </w:rPr>
  </w:style>
  <w:style w:type="paragraph" w:styleId="6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9540"/>
      </w:tabs>
      <w:spacing w:line="360" w:lineRule="auto"/>
      <w:ind w:right="430" w:rightChars="205"/>
    </w:pPr>
    <w:rPr>
      <w:rFonts w:ascii="宋体" w:hAnsi="宋体"/>
      <w:b/>
      <w:kern w:val="0"/>
      <w:sz w:val="28"/>
      <w:szCs w:val="28"/>
    </w:rPr>
  </w:style>
  <w:style w:type="paragraph" w:styleId="11">
    <w:name w:val="Subtitle"/>
    <w:basedOn w:val="1"/>
    <w:next w:val="1"/>
    <w:qFormat/>
    <w:uiPriority w:val="0"/>
    <w:pPr>
      <w:adjustRightInd w:val="0"/>
      <w:spacing w:before="760" w:beforeLines="0" w:after="280" w:afterLines="0"/>
      <w:jc w:val="left"/>
      <w:textAlignment w:val="baseline"/>
    </w:pPr>
    <w:rPr>
      <w:rFonts w:ascii="Arial" w:hAnsi="Arial" w:eastAsia="黑体"/>
      <w:spacing w:val="40"/>
      <w:kern w:val="0"/>
      <w:sz w:val="30"/>
      <w:szCs w:val="20"/>
      <w:u w:val="single"/>
    </w:rPr>
  </w:style>
  <w:style w:type="paragraph" w:styleId="12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4">
    <w:name w:val="Body Text First Indent"/>
    <w:basedOn w:val="5"/>
    <w:next w:val="1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6">
    <w:name w:val="Table Grid"/>
    <w:basedOn w:val="1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paragraph" w:customStyle="1" w:styleId="2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21">
    <w:name w:val="NormalCharacter"/>
    <w:qFormat/>
    <w:uiPriority w:val="0"/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3e60ae3-7a8d-4af9-b237-b2ec2688e4c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60ae3-7a8d-4af9-b237-b2ec2688e4c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b6986d5-d4c7-4efd-b5f1-7fa913a231d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986d5-d4c7-4efd-b5f1-7fa913a231d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0f722e0-8df3-41a8-a0cb-fc645b1ad85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f722e0-8df3-41a8-a0cb-fc645b1ad85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74c8499-bb23-40ff-a681-38061e3be90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4c8499-bb23-40ff-a681-38061e3be90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7201</Words>
  <Characters>7604</Characters>
  <Lines>0</Lines>
  <Paragraphs>0</Paragraphs>
  <TotalTime>11</TotalTime>
  <ScaleCrop>false</ScaleCrop>
  <LinksUpToDate>false</LinksUpToDate>
  <CharactersWithSpaces>8032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2021-11-11T07:47:00Z</dcterms:created>
  <dc:creator>Administrator</dc:creator>
  <cp:lastModifiedBy>Administrator</cp:lastModifiedBy>
  <cp:lastPrinted>2021-11-22T10:50:00Z</cp:lastPrinted>
  <dcterms:modified xsi:type="dcterms:W3CDTF">2022-04-24T02:05:17Z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CFCEFDF45B7349B68C199B7E739FFA11</vt:lpwstr>
  </property>
</Properties>
</file>