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tbl>
      <w:tblPr>
        <w:tblStyle w:val="5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2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医用加压器（输尿管镜灌注泵）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2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2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284" w:type="dxa"/>
          </w:tcPr>
          <w:p>
            <w:pPr>
              <w:spacing w:line="440" w:lineRule="exact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技术参数要求：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1、适合硬镜灌注工作模式。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2、硬镜灌注模式，压力可调节范围：0~250mmHg；调节模式：无级调节。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3、硬镜灌注模式，流量设定范围：每分钟流量在0至900ml；调节模式：无级调节。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4、压力监测应用冲洗管路腔内采集技术。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5、冲洗液与压力监测装置之间，采用隔菌器作无菌隔离。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6、压力反馈装置采用自适应蠕动泵控制技术，保证低流量情况下可持续灌注。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7、可配套一次性冲洗管路，避免超长管路清洗不彻底带来的感染风险。</w:t>
            </w:r>
          </w:p>
          <w:p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8、可用于经皮肾镜术中及输尿管硬镜术中冲洗。</w:t>
            </w:r>
          </w:p>
          <w:p>
            <w:pPr>
              <w:spacing w:line="440" w:lineRule="exact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9、一次性使用加温冲洗管路耗材最高限价240元/个。</w:t>
            </w:r>
          </w:p>
          <w:p>
            <w:pPr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24"/>
              </w:rPr>
              <w:t>配置要求：</w:t>
            </w:r>
          </w:p>
          <w:tbl>
            <w:tblPr>
              <w:tblStyle w:val="6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2"/>
              <w:gridCol w:w="4450"/>
              <w:gridCol w:w="13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923" w:type="pct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Calibri"/>
                      <w:kern w:val="0"/>
                      <w:sz w:val="24"/>
                    </w:rPr>
                  </w:pPr>
                  <w:r>
                    <w:rPr>
                      <w:rFonts w:ascii="宋体" w:hAnsi="宋体" w:cs="Calibri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3153" w:type="pct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Calibri"/>
                      <w:kern w:val="0"/>
                      <w:sz w:val="24"/>
                    </w:rPr>
                  </w:pPr>
                  <w:r>
                    <w:rPr>
                      <w:rFonts w:ascii="宋体" w:hAnsi="宋体" w:cs="Calibri"/>
                      <w:kern w:val="0"/>
                      <w:sz w:val="24"/>
                    </w:rPr>
                    <w:t>品 名</w:t>
                  </w:r>
                </w:p>
              </w:tc>
              <w:tc>
                <w:tcPr>
                  <w:tcW w:w="923" w:type="pct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Calibri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Calibri"/>
                      <w:kern w:val="0"/>
                      <w:sz w:val="24"/>
                    </w:rPr>
                    <w:t>数</w:t>
                  </w:r>
                  <w:r>
                    <w:rPr>
                      <w:rFonts w:ascii="宋体" w:hAnsi="宋体" w:cs="Calibri"/>
                      <w:kern w:val="0"/>
                      <w:sz w:val="24"/>
                    </w:rPr>
                    <w:t>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92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Calibri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Calibri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315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Calibri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Calibri"/>
                      <w:kern w:val="0"/>
                      <w:sz w:val="24"/>
                    </w:rPr>
                    <w:t>灌注泵</w:t>
                  </w:r>
                </w:p>
              </w:tc>
              <w:tc>
                <w:tcPr>
                  <w:tcW w:w="92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Calibri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Calibri"/>
                      <w:kern w:val="0"/>
                      <w:sz w:val="24"/>
                    </w:rPr>
                    <w:t>1台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92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Calibri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Calibri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3153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Calibri"/>
                      <w:kern w:val="0"/>
                      <w:sz w:val="24"/>
                    </w:rPr>
                  </w:pPr>
                  <w:r>
                    <w:rPr>
                      <w:rFonts w:ascii="宋体" w:hAnsi="宋体" w:cs="Calibri"/>
                      <w:kern w:val="0"/>
                      <w:sz w:val="24"/>
                    </w:rPr>
                    <w:t>冲洗管路（硬镜用）</w:t>
                  </w:r>
                </w:p>
              </w:tc>
              <w:tc>
                <w:tcPr>
                  <w:tcW w:w="92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Calibri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Calibri"/>
                      <w:kern w:val="0"/>
                      <w:sz w:val="24"/>
                    </w:rPr>
                    <w:t>5套</w:t>
                  </w:r>
                </w:p>
              </w:tc>
            </w:tr>
          </w:tbl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原厂质保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至少1年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售后期内，中标供应商在接到用户的维修通知，响应时间为半小时内，工程师到达现场时间为4小时内，排除故障时限为到达现场后8小时内。如果产品故障在检修12小时后仍无法排除，中标供应商应在24小时内提供不低于故障产品规格型号档次的备用产品供采购人使用，直至故障产品修复。</w:t>
            </w:r>
          </w:p>
          <w:p>
            <w:pPr>
              <w:spacing w:line="440" w:lineRule="exact"/>
              <w:rPr>
                <w:rFonts w:hint="default" w:ascii="宋体" w:hAnsi="宋体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报价单</w:t>
      </w:r>
    </w:p>
    <w:p>
      <w:pPr>
        <w:spacing w:line="440" w:lineRule="exact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致中山市小榄人民医院：</w:t>
      </w:r>
    </w:p>
    <w:tbl>
      <w:tblPr>
        <w:tblStyle w:val="5"/>
        <w:tblpPr w:leftFromText="180" w:rightFromText="180" w:vertAnchor="text" w:horzAnchor="page" w:tblpX="1935" w:tblpY="39"/>
        <w:tblOverlap w:val="never"/>
        <w:tblW w:w="8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设备型号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厂家/品牌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产地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质保期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单价（元）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总价（元）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耗材（元）如有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</w:t>
      </w:r>
    </w:p>
    <w:p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报价时间：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请按广东省药品电子交易平台填写以下信息：</w:t>
      </w:r>
    </w:p>
    <w:tbl>
      <w:tblPr>
        <w:tblStyle w:val="5"/>
        <w:tblpPr w:leftFromText="180" w:rightFromText="180" w:vertAnchor="text" w:horzAnchor="page" w:tblpX="1964" w:tblpY="1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4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72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产品名称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72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规格型号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72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注册证号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72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药交ID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72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国家医保耗材代码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272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省平台联盟区限价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报价时间：</w:t>
      </w:r>
    </w:p>
    <w:p>
      <w:pPr>
        <w:rPr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参数偏离情况表</w:t>
      </w:r>
    </w:p>
    <w:p>
      <w:p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tbl>
      <w:tblPr>
        <w:tblStyle w:val="4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91"/>
        <w:gridCol w:w="124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技术参数及配置要求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正/负偏离</w:t>
            </w: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适合硬镜灌注工作模式。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硬镜灌注模式，压力可调节范围：0~250mmHg；调节模式：无级调节。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硬镜灌注模式，流量设定范围：每分钟流量在0至900ml；调节模式：无级调节。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压力监测应用冲洗管路腔内采集技术。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冲洗液与压力监测装置之间，采用隔菌器作无菌隔离。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压力反馈装置采用自适应蠕动泵控制技术，保证低流量情况下可持续灌注。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可配套一次性冲洗管路，避免超长管路清洗不彻底带来的感染风险。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可用于经皮肾镜术中及输尿管硬镜术中冲洗。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一次性使用加温冲洗管路耗材最高限价240元/个。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tabs>
                <w:tab w:val="left" w:pos="0"/>
              </w:tabs>
              <w:spacing w:line="40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配置要求</w:t>
            </w:r>
          </w:p>
          <w:tbl>
            <w:tblPr>
              <w:tblStyle w:val="6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8"/>
              <w:gridCol w:w="3007"/>
              <w:gridCol w:w="8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923" w:type="pct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153" w:type="pct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  <w:t>品 名</w:t>
                  </w:r>
                </w:p>
              </w:tc>
              <w:tc>
                <w:tcPr>
                  <w:tcW w:w="923" w:type="pct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92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  <w:t>灌注泵</w:t>
                  </w:r>
                </w:p>
              </w:tc>
              <w:tc>
                <w:tcPr>
                  <w:tcW w:w="92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  <w:t>1台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92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53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  <w:t>冲洗管路（硬镜用）</w:t>
                  </w:r>
                </w:p>
              </w:tc>
              <w:tc>
                <w:tcPr>
                  <w:tcW w:w="923" w:type="pct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kern w:val="0"/>
                      <w:sz w:val="24"/>
                      <w:szCs w:val="24"/>
                    </w:rPr>
                    <w:t>5套</w:t>
                  </w:r>
                </w:p>
              </w:tc>
            </w:tr>
          </w:tbl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原厂质保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至少1年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售后期内，中标供应商在接到用户的维修通知，响应时间为半小时内，工程师到达现场时间为4小时内，排除故障时限为到达现场后8小时内。如果产品故障在检修12小时后仍无法排除，中标供应商应在24小时内提供不低于故障产品规格型号档次的备用产品供采购人使用，直至故障产品修复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4071B"/>
    <w:rsid w:val="4954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Theme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2021-12-28T07:53:00Z</dcterms:created>
  <dc:creator>Administrator</dc:creator>
  <cp:lastModifiedBy>Administrator</cp:lastModifiedBy>
  <dcterms:modified xsi:type="dcterms:W3CDTF">2021-12-28T07:53:42Z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45A27AF496704FE7AE55F8E3B30C1A84</vt:lpwstr>
  </property>
</Properties>
</file>