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仿宋" w:hAnsi="仿宋" w:eastAsia="仿宋" w:cs="仿宋"/>
          <w:b/>
          <w:color w:val="auto"/>
          <w:sz w:val="72"/>
          <w:szCs w:val="72"/>
          <w:highlight w:val="none"/>
          <w:lang w:val="en-US" w:eastAsia="zh-CN"/>
        </w:rPr>
      </w:pPr>
    </w:p>
    <w:p>
      <w:pPr>
        <w:tabs>
          <w:tab w:val="left" w:pos="420"/>
          <w:tab w:val="left" w:pos="6660"/>
        </w:tabs>
        <w:spacing w:line="360" w:lineRule="auto"/>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谈 判 文 件</w:t>
      </w:r>
    </w:p>
    <w:p>
      <w:pPr>
        <w:widowControl/>
        <w:spacing w:line="360" w:lineRule="auto"/>
        <w:jc w:val="center"/>
        <w:rPr>
          <w:rFonts w:hint="eastAsia" w:ascii="仿宋" w:hAnsi="仿宋" w:eastAsia="仿宋" w:cs="仿宋"/>
          <w:b/>
          <w:color w:val="auto"/>
          <w:sz w:val="36"/>
          <w:szCs w:val="36"/>
          <w:highlight w:val="none"/>
        </w:rPr>
      </w:pPr>
    </w:p>
    <w:p>
      <w:pPr>
        <w:pStyle w:val="5"/>
        <w:rPr>
          <w:rFonts w:hint="eastAsia" w:ascii="仿宋" w:hAnsi="仿宋" w:eastAsia="仿宋" w:cs="仿宋"/>
          <w:b/>
          <w:color w:val="auto"/>
          <w:sz w:val="36"/>
          <w:szCs w:val="36"/>
          <w:highlight w:val="none"/>
        </w:rPr>
      </w:pPr>
    </w:p>
    <w:p>
      <w:pPr>
        <w:pStyle w:val="6"/>
        <w:rPr>
          <w:rFonts w:hint="eastAsia" w:ascii="仿宋" w:hAnsi="仿宋" w:eastAsia="仿宋" w:cs="仿宋"/>
          <w:b/>
          <w:color w:val="auto"/>
          <w:sz w:val="36"/>
          <w:szCs w:val="36"/>
          <w:highlight w:val="none"/>
        </w:rPr>
      </w:pPr>
    </w:p>
    <w:p>
      <w:pPr>
        <w:rPr>
          <w:rFonts w:hint="eastAsia" w:ascii="仿宋" w:hAnsi="仿宋" w:eastAsia="仿宋" w:cs="仿宋"/>
          <w:b/>
          <w:color w:val="auto"/>
          <w:sz w:val="36"/>
          <w:szCs w:val="36"/>
          <w:highlight w:val="none"/>
        </w:rPr>
      </w:pPr>
    </w:p>
    <w:p>
      <w:pPr>
        <w:pStyle w:val="5"/>
        <w:rPr>
          <w:rFonts w:hint="eastAsia" w:ascii="仿宋" w:hAnsi="仿宋" w:eastAsia="仿宋" w:cs="仿宋"/>
          <w:b/>
          <w:color w:val="auto"/>
          <w:sz w:val="36"/>
          <w:szCs w:val="36"/>
          <w:highlight w:val="none"/>
        </w:rPr>
      </w:pPr>
    </w:p>
    <w:p>
      <w:pPr>
        <w:pStyle w:val="6"/>
        <w:rPr>
          <w:rFonts w:hint="eastAsia" w:ascii="仿宋" w:hAnsi="仿宋" w:eastAsia="仿宋" w:cs="仿宋"/>
          <w:b/>
          <w:color w:val="auto"/>
          <w:sz w:val="36"/>
          <w:szCs w:val="36"/>
          <w:highlight w:val="none"/>
        </w:rPr>
      </w:pPr>
    </w:p>
    <w:p>
      <w:pPr>
        <w:rPr>
          <w:rFonts w:hint="eastAsia" w:ascii="仿宋" w:hAnsi="仿宋" w:eastAsia="仿宋" w:cs="仿宋"/>
          <w:color w:val="auto"/>
          <w:sz w:val="36"/>
          <w:szCs w:val="36"/>
          <w:highlight w:val="none"/>
        </w:rPr>
      </w:pPr>
    </w:p>
    <w:p>
      <w:pPr>
        <w:widowControl/>
        <w:spacing w:line="360" w:lineRule="auto"/>
        <w:jc w:val="center"/>
        <w:rPr>
          <w:rFonts w:hint="eastAsia" w:ascii="仿宋" w:hAnsi="仿宋" w:eastAsia="仿宋" w:cs="仿宋"/>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rPr>
        <w:t>项目名称：</w:t>
      </w:r>
      <w:r>
        <w:rPr>
          <w:rFonts w:hint="eastAsia" w:ascii="仿宋" w:hAnsi="仿宋" w:eastAsia="仿宋" w:cs="仿宋"/>
          <w:b/>
          <w:bCs/>
          <w:color w:val="auto"/>
          <w:sz w:val="36"/>
          <w:szCs w:val="36"/>
          <w:highlight w:val="none"/>
          <w:lang w:val="en-US" w:eastAsia="zh-CN"/>
        </w:rPr>
        <w:t>除颤监护仪</w:t>
      </w:r>
    </w:p>
    <w:p>
      <w:pPr>
        <w:pStyle w:val="2"/>
        <w:rPr>
          <w:rFonts w:hint="default"/>
          <w:color w:val="auto"/>
          <w:lang w:val="en-US" w:eastAsia="zh-CN"/>
        </w:rPr>
      </w:pPr>
      <w:r>
        <w:rPr>
          <w:rFonts w:hint="eastAsia" w:ascii="仿宋" w:hAnsi="仿宋" w:eastAsia="仿宋" w:cs="仿宋"/>
          <w:b/>
          <w:bCs/>
          <w:color w:val="auto"/>
          <w:sz w:val="36"/>
          <w:szCs w:val="36"/>
          <w:highlight w:val="none"/>
          <w:lang w:val="en-US" w:eastAsia="zh-CN"/>
        </w:rPr>
        <w:t>项目编号：2021084、2021016、2021343</w:t>
      </w:r>
    </w:p>
    <w:p>
      <w:pPr>
        <w:pStyle w:val="5"/>
        <w:rPr>
          <w:rFonts w:hint="eastAsia" w:ascii="仿宋" w:hAnsi="仿宋" w:eastAsia="仿宋" w:cs="仿宋"/>
          <w:b/>
          <w:bCs/>
          <w:color w:val="auto"/>
          <w:sz w:val="36"/>
          <w:szCs w:val="36"/>
          <w:highlight w:val="none"/>
          <w:lang w:val="en-US" w:eastAsia="zh-CN"/>
        </w:rPr>
      </w:pPr>
    </w:p>
    <w:p>
      <w:pPr>
        <w:pStyle w:val="6"/>
        <w:rPr>
          <w:rFonts w:hint="eastAsia" w:ascii="仿宋" w:hAnsi="仿宋" w:eastAsia="仿宋" w:cs="仿宋"/>
          <w:b/>
          <w:bCs/>
          <w:color w:val="auto"/>
          <w:sz w:val="36"/>
          <w:szCs w:val="36"/>
          <w:highlight w:val="none"/>
          <w:lang w:val="en-US" w:eastAsia="zh-CN"/>
        </w:rPr>
      </w:pPr>
    </w:p>
    <w:p>
      <w:pPr>
        <w:rPr>
          <w:rFonts w:hint="eastAsia" w:ascii="仿宋" w:hAnsi="仿宋" w:eastAsia="仿宋" w:cs="仿宋"/>
          <w:b/>
          <w:bCs/>
          <w:color w:val="auto"/>
          <w:sz w:val="36"/>
          <w:szCs w:val="36"/>
          <w:highlight w:val="none"/>
          <w:lang w:val="en-US" w:eastAsia="zh-CN"/>
        </w:rPr>
      </w:pPr>
    </w:p>
    <w:p>
      <w:pPr>
        <w:pStyle w:val="5"/>
        <w:rPr>
          <w:rFonts w:hint="eastAsia" w:ascii="仿宋" w:hAnsi="仿宋" w:eastAsia="仿宋" w:cs="仿宋"/>
          <w:b/>
          <w:bCs/>
          <w:color w:val="auto"/>
          <w:sz w:val="36"/>
          <w:szCs w:val="36"/>
          <w:highlight w:val="none"/>
          <w:lang w:val="en-US" w:eastAsia="zh-CN"/>
        </w:rPr>
      </w:pPr>
    </w:p>
    <w:p>
      <w:pPr>
        <w:pStyle w:val="6"/>
        <w:rPr>
          <w:rFonts w:hint="eastAsia" w:ascii="仿宋" w:hAnsi="仿宋" w:eastAsia="仿宋" w:cs="仿宋"/>
          <w:b/>
          <w:bCs/>
          <w:color w:val="auto"/>
          <w:sz w:val="36"/>
          <w:szCs w:val="36"/>
          <w:highlight w:val="none"/>
          <w:lang w:val="en-US" w:eastAsia="zh-CN"/>
        </w:rPr>
      </w:pPr>
    </w:p>
    <w:p>
      <w:pPr>
        <w:rPr>
          <w:rFonts w:hint="eastAsia" w:ascii="仿宋" w:hAnsi="仿宋" w:eastAsia="仿宋" w:cs="仿宋"/>
          <w:b/>
          <w:bCs/>
          <w:color w:val="auto"/>
          <w:sz w:val="36"/>
          <w:szCs w:val="36"/>
          <w:highlight w:val="none"/>
          <w:lang w:val="en-US" w:eastAsia="zh-CN"/>
        </w:rPr>
      </w:pPr>
    </w:p>
    <w:p>
      <w:pPr>
        <w:pStyle w:val="5"/>
        <w:rPr>
          <w:rFonts w:hint="eastAsia"/>
          <w:color w:val="auto"/>
          <w:lang w:val="en-US" w:eastAsia="zh-CN"/>
        </w:rPr>
      </w:pPr>
    </w:p>
    <w:p>
      <w:pPr>
        <w:pStyle w:val="5"/>
        <w:rPr>
          <w:rFonts w:hint="eastAsia" w:ascii="仿宋" w:hAnsi="仿宋" w:eastAsia="仿宋" w:cs="仿宋"/>
          <w:b/>
          <w:bCs/>
          <w:color w:val="auto"/>
          <w:sz w:val="36"/>
          <w:szCs w:val="36"/>
          <w:highlight w:val="none"/>
          <w:lang w:val="en-US" w:eastAsia="zh-CN"/>
        </w:rPr>
      </w:pPr>
    </w:p>
    <w:p>
      <w:pPr>
        <w:tabs>
          <w:tab w:val="left" w:pos="0"/>
          <w:tab w:val="left" w:pos="426"/>
        </w:tabs>
        <w:wordWrap w:val="0"/>
        <w:spacing w:line="360" w:lineRule="auto"/>
        <w:ind w:firstLine="723" w:firstLineChars="20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2021年</w:t>
      </w:r>
      <w:r>
        <w:rPr>
          <w:rFonts w:hint="eastAsia" w:ascii="仿宋" w:hAnsi="仿宋" w:eastAsia="仿宋" w:cs="仿宋"/>
          <w:b/>
          <w:bCs/>
          <w:color w:val="auto"/>
          <w:sz w:val="36"/>
          <w:szCs w:val="36"/>
          <w:highlight w:val="none"/>
          <w:lang w:val="en-US" w:eastAsia="zh-CN"/>
        </w:rPr>
        <w:t>11</w:t>
      </w:r>
      <w:r>
        <w:rPr>
          <w:rFonts w:hint="eastAsia" w:ascii="仿宋" w:hAnsi="仿宋" w:eastAsia="仿宋" w:cs="仿宋"/>
          <w:b/>
          <w:bCs/>
          <w:color w:val="auto"/>
          <w:sz w:val="36"/>
          <w:szCs w:val="36"/>
          <w:highlight w:val="none"/>
        </w:rPr>
        <w:t>月</w:t>
      </w:r>
    </w:p>
    <w:p>
      <w:pPr>
        <w:rPr>
          <w:rFonts w:hint="eastAsia"/>
          <w:color w:val="auto"/>
          <w:lang w:eastAsia="zh-CN"/>
        </w:rPr>
      </w:pPr>
    </w:p>
    <w:p>
      <w:pPr>
        <w:pStyle w:val="6"/>
        <w:rPr>
          <w:rFonts w:hint="default"/>
          <w:color w:val="auto"/>
          <w:lang w:val="en-US" w:eastAsia="zh-CN"/>
        </w:rPr>
        <w:sectPr>
          <w:pgSz w:w="11906" w:h="16838"/>
          <w:pgMar w:top="1440" w:right="1800" w:bottom="1440" w:left="1800" w:header="851" w:footer="992" w:gutter="0"/>
          <w:pgNumType w:fmt="decimal" w:start="0"/>
          <w:cols w:space="425" w:num="1"/>
          <w:docGrid w:type="lines" w:linePitch="312" w:charSpace="0"/>
        </w:sectPr>
      </w:pPr>
    </w:p>
    <w:p>
      <w:pPr>
        <w:rPr>
          <w:rFonts w:hint="default"/>
          <w:color w:val="auto"/>
          <w:lang w:val="en-US" w:eastAsia="zh-CN"/>
        </w:rPr>
      </w:pPr>
    </w:p>
    <w:sdt>
      <w:sdtPr>
        <w:rPr>
          <w:rFonts w:hint="eastAsia" w:ascii="仿宋" w:hAnsi="仿宋" w:eastAsia="仿宋" w:cs="仿宋"/>
          <w:color w:val="auto"/>
          <w:kern w:val="2"/>
          <w:sz w:val="28"/>
          <w:szCs w:val="28"/>
          <w:lang w:val="en-US" w:eastAsia="zh-CN" w:bidi="ar-SA"/>
        </w:rPr>
        <w:id w:val="147474871"/>
        <w15:color w:val="DBDBDB"/>
        <w:docPartObj>
          <w:docPartGallery w:val="Table of Contents"/>
          <w:docPartUnique/>
        </w:docPartObj>
      </w:sdtPr>
      <w:sdtEndPr>
        <w:rPr>
          <w:rFonts w:hint="eastAsia" w:ascii="仿宋" w:hAnsi="仿宋" w:eastAsia="仿宋" w:cs="仿宋"/>
          <w:b/>
          <w:bCs/>
          <w:color w:val="auto"/>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28"/>
              <w:szCs w:val="28"/>
            </w:rPr>
          </w:pPr>
          <w:bookmarkStart w:id="0" w:name="_Toc17594_WPSOffice_Type1"/>
          <w:r>
            <w:rPr>
              <w:rFonts w:hint="eastAsia" w:ascii="仿宋" w:hAnsi="仿宋" w:eastAsia="仿宋" w:cs="仿宋"/>
              <w:b/>
              <w:bCs/>
              <w:color w:val="auto"/>
              <w:sz w:val="28"/>
              <w:szCs w:val="28"/>
            </w:rPr>
            <w:t>目</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录</w:t>
          </w:r>
        </w:p>
        <w:p>
          <w:pPr>
            <w:pStyle w:val="20"/>
            <w:tabs>
              <w:tab w:val="right" w:leader="dot" w:pos="8306"/>
            </w:tabs>
            <w:rPr>
              <w:rFonts w:hint="eastAsia" w:ascii="仿宋" w:hAnsi="仿宋" w:eastAsia="仿宋" w:cs="仿宋"/>
              <w:b/>
              <w:bCs/>
              <w:color w:val="auto"/>
              <w:sz w:val="28"/>
              <w:szCs w:val="28"/>
              <w:lang w:eastAsia="zh-CN"/>
            </w:rPr>
          </w:pPr>
          <w:sdt>
            <w:sdtPr>
              <w:rPr>
                <w:rFonts w:hint="eastAsia" w:ascii="仿宋" w:hAnsi="仿宋" w:eastAsia="仿宋" w:cs="仿宋"/>
                <w:b/>
                <w:bCs/>
                <w:color w:val="auto"/>
                <w:kern w:val="2"/>
                <w:sz w:val="28"/>
                <w:szCs w:val="28"/>
                <w:lang w:val="en-US" w:eastAsia="zh-CN" w:bidi="ar-SA"/>
              </w:rPr>
              <w:id w:val="147474871"/>
              <w:placeholder>
                <w:docPart w:val="{23e60ae3-7a8d-4af9-b237-b2ec2688e4c8}"/>
              </w:placeholder>
              <w15:color w:val="509DF3"/>
            </w:sdtPr>
            <w:sdtEndPr>
              <w:rPr>
                <w:rFonts w:hint="eastAsia" w:ascii="仿宋" w:hAnsi="仿宋" w:eastAsia="仿宋" w:cs="仿宋"/>
                <w:b/>
                <w:bCs/>
                <w:color w:val="auto"/>
                <w:kern w:val="2"/>
                <w:sz w:val="28"/>
                <w:szCs w:val="28"/>
                <w:lang w:val="en-US" w:eastAsia="zh-CN" w:bidi="ar-SA"/>
              </w:rPr>
            </w:sdtEndPr>
            <w:sdtContent>
              <w:r>
                <w:rPr>
                  <w:rFonts w:hint="eastAsia" w:ascii="仿宋" w:hAnsi="仿宋" w:eastAsia="仿宋" w:cs="仿宋"/>
                  <w:b/>
                  <w:bCs/>
                  <w:color w:val="auto"/>
                  <w:kern w:val="2"/>
                  <w:sz w:val="28"/>
                  <w:szCs w:val="28"/>
                  <w:lang w:val="en-US" w:eastAsia="zh-CN" w:bidi="ar-SA"/>
                </w:rPr>
                <w:t>第一部分 谈判邀请函</w:t>
              </w:r>
            </w:sdtContent>
          </w:sdt>
          <w:r>
            <w:rPr>
              <w:rFonts w:hint="eastAsia" w:ascii="仿宋" w:hAnsi="仿宋" w:eastAsia="仿宋" w:cs="仿宋"/>
              <w:b/>
              <w:bCs/>
              <w:color w:val="auto"/>
              <w:sz w:val="28"/>
              <w:szCs w:val="28"/>
            </w:rPr>
            <w:tab/>
          </w:r>
          <w:r>
            <w:rPr>
              <w:rFonts w:hint="eastAsia" w:ascii="仿宋" w:hAnsi="仿宋" w:eastAsia="仿宋" w:cs="仿宋"/>
              <w:b/>
              <w:bCs/>
              <w:color w:val="auto"/>
              <w:sz w:val="28"/>
              <w:szCs w:val="28"/>
              <w:lang w:val="en-US" w:eastAsia="zh-CN"/>
            </w:rPr>
            <w:t>2</w:t>
          </w:r>
        </w:p>
        <w:p>
          <w:pPr>
            <w:pStyle w:val="20"/>
            <w:tabs>
              <w:tab w:val="right" w:leader="dot" w:pos="8306"/>
            </w:tabs>
            <w:rPr>
              <w:rFonts w:hint="eastAsia" w:ascii="仿宋" w:hAnsi="仿宋" w:eastAsia="仿宋" w:cs="仿宋"/>
              <w:b/>
              <w:bCs/>
              <w:color w:val="auto"/>
              <w:sz w:val="28"/>
              <w:szCs w:val="28"/>
              <w:lang w:eastAsia="zh-CN"/>
            </w:rPr>
          </w:pPr>
          <w:sdt>
            <w:sdtPr>
              <w:rPr>
                <w:rFonts w:hint="eastAsia" w:ascii="仿宋" w:hAnsi="仿宋" w:eastAsia="仿宋" w:cs="仿宋"/>
                <w:b/>
                <w:bCs/>
                <w:color w:val="auto"/>
                <w:kern w:val="2"/>
                <w:sz w:val="28"/>
                <w:szCs w:val="28"/>
                <w:lang w:val="en-US" w:eastAsia="zh-CN" w:bidi="ar-SA"/>
              </w:rPr>
              <w:id w:val="147474871"/>
              <w:placeholder>
                <w:docPart w:val="{fb6986d5-d4c7-4efd-b5f1-7fa913a231d0}"/>
              </w:placeholder>
              <w15:color w:val="509DF3"/>
            </w:sdtPr>
            <w:sdtEndPr>
              <w:rPr>
                <w:rFonts w:hint="eastAsia" w:ascii="仿宋" w:hAnsi="仿宋" w:eastAsia="仿宋" w:cs="仿宋"/>
                <w:b/>
                <w:bCs/>
                <w:color w:val="auto"/>
                <w:kern w:val="2"/>
                <w:sz w:val="28"/>
                <w:szCs w:val="28"/>
                <w:lang w:val="en-US" w:eastAsia="zh-CN" w:bidi="ar-SA"/>
              </w:rPr>
            </w:sdtEndPr>
            <w:sdtContent>
              <w:r>
                <w:rPr>
                  <w:rFonts w:hint="eastAsia" w:ascii="仿宋" w:hAnsi="仿宋" w:eastAsia="仿宋" w:cs="仿宋"/>
                  <w:b/>
                  <w:bCs/>
                  <w:color w:val="auto"/>
                  <w:kern w:val="2"/>
                  <w:sz w:val="28"/>
                  <w:szCs w:val="28"/>
                  <w:lang w:val="en-US" w:eastAsia="zh-CN" w:bidi="ar-SA"/>
                </w:rPr>
                <w:t>第二部分 采购需求书</w:t>
              </w:r>
            </w:sdtContent>
          </w:sdt>
          <w:r>
            <w:rPr>
              <w:rFonts w:hint="eastAsia" w:ascii="仿宋" w:hAnsi="仿宋" w:eastAsia="仿宋" w:cs="仿宋"/>
              <w:b/>
              <w:bCs/>
              <w:color w:val="auto"/>
              <w:sz w:val="28"/>
              <w:szCs w:val="28"/>
            </w:rPr>
            <w:tab/>
          </w:r>
          <w:r>
            <w:rPr>
              <w:rFonts w:hint="eastAsia" w:ascii="仿宋" w:hAnsi="仿宋" w:eastAsia="仿宋" w:cs="仿宋"/>
              <w:b/>
              <w:bCs/>
              <w:color w:val="auto"/>
              <w:sz w:val="28"/>
              <w:szCs w:val="28"/>
              <w:lang w:val="en-US" w:eastAsia="zh-CN"/>
            </w:rPr>
            <w:t>6</w:t>
          </w:r>
        </w:p>
        <w:p>
          <w:pPr>
            <w:pStyle w:val="20"/>
            <w:tabs>
              <w:tab w:val="right" w:leader="dot" w:pos="8306"/>
            </w:tabs>
            <w:rPr>
              <w:rFonts w:hint="default" w:ascii="仿宋" w:hAnsi="仿宋" w:eastAsia="仿宋" w:cs="仿宋"/>
              <w:b/>
              <w:bCs/>
              <w:color w:val="auto"/>
              <w:sz w:val="28"/>
              <w:szCs w:val="28"/>
              <w:lang w:val="en-US" w:eastAsia="zh-CN"/>
            </w:rPr>
          </w:pPr>
          <w:sdt>
            <w:sdtPr>
              <w:rPr>
                <w:rFonts w:hint="eastAsia" w:ascii="仿宋" w:hAnsi="仿宋" w:eastAsia="仿宋" w:cs="仿宋"/>
                <w:b/>
                <w:bCs/>
                <w:color w:val="auto"/>
                <w:kern w:val="2"/>
                <w:sz w:val="28"/>
                <w:szCs w:val="28"/>
                <w:lang w:val="en-US" w:eastAsia="zh-CN" w:bidi="ar-SA"/>
              </w:rPr>
              <w:id w:val="147474871"/>
              <w:placeholder>
                <w:docPart w:val="{90f722e0-8df3-41a8-a0cb-fc645b1ad85b}"/>
              </w:placeholder>
              <w15:color w:val="509DF3"/>
            </w:sdtPr>
            <w:sdtEndPr>
              <w:rPr>
                <w:rFonts w:hint="eastAsia" w:ascii="仿宋" w:hAnsi="仿宋" w:eastAsia="仿宋" w:cs="仿宋"/>
                <w:b/>
                <w:bCs/>
                <w:color w:val="auto"/>
                <w:kern w:val="2"/>
                <w:sz w:val="28"/>
                <w:szCs w:val="28"/>
                <w:lang w:val="en-US" w:eastAsia="zh-CN" w:bidi="ar-SA"/>
              </w:rPr>
            </w:sdtEndPr>
            <w:sdtContent>
              <w:r>
                <w:rPr>
                  <w:rFonts w:hint="eastAsia" w:ascii="仿宋" w:hAnsi="仿宋" w:eastAsia="仿宋" w:cs="仿宋"/>
                  <w:b/>
                  <w:bCs/>
                  <w:color w:val="auto"/>
                  <w:kern w:val="2"/>
                  <w:sz w:val="28"/>
                  <w:szCs w:val="28"/>
                  <w:lang w:val="en-US" w:eastAsia="zh-CN" w:bidi="ar-SA"/>
                </w:rPr>
                <w:t>第三部分 评分标准</w:t>
              </w:r>
            </w:sdtContent>
          </w:sdt>
          <w:r>
            <w:rPr>
              <w:rFonts w:hint="eastAsia" w:ascii="仿宋" w:hAnsi="仿宋" w:eastAsia="仿宋" w:cs="仿宋"/>
              <w:b/>
              <w:bCs/>
              <w:color w:val="auto"/>
              <w:sz w:val="28"/>
              <w:szCs w:val="28"/>
            </w:rPr>
            <w:tab/>
          </w:r>
          <w:r>
            <w:rPr>
              <w:rFonts w:hint="eastAsia" w:ascii="仿宋" w:hAnsi="仿宋" w:eastAsia="仿宋" w:cs="仿宋"/>
              <w:b/>
              <w:bCs/>
              <w:color w:val="auto"/>
              <w:sz w:val="28"/>
              <w:szCs w:val="28"/>
              <w:lang w:val="en-US" w:eastAsia="zh-CN"/>
            </w:rPr>
            <w:t>11</w:t>
          </w:r>
        </w:p>
        <w:p>
          <w:pPr>
            <w:pStyle w:val="20"/>
            <w:tabs>
              <w:tab w:val="right" w:leader="dot" w:pos="8306"/>
            </w:tabs>
            <w:rPr>
              <w:rFonts w:hint="eastAsia" w:ascii="仿宋" w:hAnsi="仿宋" w:eastAsia="仿宋" w:cs="仿宋"/>
              <w:b/>
              <w:bCs/>
              <w:color w:val="auto"/>
              <w:sz w:val="28"/>
              <w:szCs w:val="28"/>
            </w:rPr>
          </w:pPr>
          <w:sdt>
            <w:sdtPr>
              <w:rPr>
                <w:rFonts w:hint="eastAsia" w:ascii="仿宋" w:hAnsi="仿宋" w:eastAsia="仿宋" w:cs="仿宋"/>
                <w:b/>
                <w:bCs/>
                <w:color w:val="auto"/>
                <w:kern w:val="2"/>
                <w:sz w:val="28"/>
                <w:szCs w:val="28"/>
                <w:lang w:val="en-US" w:eastAsia="zh-CN" w:bidi="ar-SA"/>
              </w:rPr>
              <w:id w:val="147474871"/>
              <w:placeholder>
                <w:docPart w:val="{374c8499-bb23-40ff-a681-38061e3be905}"/>
              </w:placeholder>
              <w15:color w:val="509DF3"/>
            </w:sdtPr>
            <w:sdtEndPr>
              <w:rPr>
                <w:rFonts w:hint="eastAsia" w:ascii="仿宋" w:hAnsi="仿宋" w:eastAsia="仿宋" w:cs="仿宋"/>
                <w:b/>
                <w:bCs/>
                <w:color w:val="auto"/>
                <w:kern w:val="2"/>
                <w:sz w:val="28"/>
                <w:szCs w:val="28"/>
                <w:lang w:val="en-US" w:eastAsia="zh-CN" w:bidi="ar-SA"/>
              </w:rPr>
            </w:sdtEndPr>
            <w:sdtContent>
              <w:r>
                <w:rPr>
                  <w:rFonts w:hint="eastAsia" w:ascii="仿宋" w:hAnsi="仿宋" w:eastAsia="仿宋" w:cs="仿宋"/>
                  <w:b/>
                  <w:bCs/>
                  <w:color w:val="auto"/>
                  <w:kern w:val="2"/>
                  <w:sz w:val="28"/>
                  <w:szCs w:val="28"/>
                  <w:lang w:val="en-US" w:eastAsia="zh-CN" w:bidi="ar-SA"/>
                </w:rPr>
                <w:t>第四部分 报价文件格式</w:t>
              </w:r>
            </w:sdtContent>
          </w:sdt>
          <w:r>
            <w:rPr>
              <w:rFonts w:hint="eastAsia" w:ascii="仿宋" w:hAnsi="仿宋" w:eastAsia="仿宋" w:cs="仿宋"/>
              <w:b/>
              <w:bCs/>
              <w:color w:val="auto"/>
              <w:sz w:val="28"/>
              <w:szCs w:val="28"/>
            </w:rPr>
            <w:tab/>
          </w:r>
          <w:bookmarkEnd w:id="0"/>
          <w:r>
            <w:rPr>
              <w:rFonts w:hint="eastAsia" w:ascii="仿宋" w:hAnsi="仿宋" w:eastAsia="仿宋" w:cs="仿宋"/>
              <w:b/>
              <w:bCs/>
              <w:color w:val="auto"/>
              <w:sz w:val="28"/>
              <w:szCs w:val="28"/>
              <w:lang w:val="en-US" w:eastAsia="zh-CN"/>
            </w:rPr>
            <w:t>14</w:t>
          </w:r>
        </w:p>
      </w:sdtContent>
    </w:sdt>
    <w:p>
      <w:pPr>
        <w:pStyle w:val="5"/>
        <w:rPr>
          <w:rFonts w:hint="eastAsia" w:ascii="仿宋" w:hAnsi="仿宋" w:eastAsia="仿宋" w:cs="仿宋"/>
          <w:color w:val="auto"/>
          <w:sz w:val="28"/>
          <w:szCs w:val="28"/>
        </w:rPr>
      </w:pPr>
      <w:bookmarkStart w:id="5" w:name="_GoBack"/>
      <w:bookmarkEnd w:id="5"/>
    </w:p>
    <w:p>
      <w:pPr>
        <w:pStyle w:val="6"/>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5"/>
        <w:rPr>
          <w:rFonts w:hint="eastAsia" w:ascii="仿宋" w:hAnsi="仿宋" w:eastAsia="仿宋" w:cs="仿宋"/>
          <w:color w:val="auto"/>
          <w:sz w:val="28"/>
          <w:szCs w:val="28"/>
        </w:rPr>
      </w:pPr>
    </w:p>
    <w:p>
      <w:pPr>
        <w:pStyle w:val="6"/>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5"/>
        <w:rPr>
          <w:rFonts w:hint="eastAsia" w:ascii="仿宋" w:hAnsi="仿宋" w:eastAsia="仿宋" w:cs="仿宋"/>
          <w:color w:val="auto"/>
          <w:sz w:val="28"/>
          <w:szCs w:val="28"/>
        </w:rPr>
      </w:pPr>
    </w:p>
    <w:p>
      <w:pPr>
        <w:pStyle w:val="6"/>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5"/>
        <w:rPr>
          <w:rFonts w:hint="eastAsia" w:ascii="仿宋" w:hAnsi="仿宋" w:eastAsia="仿宋" w:cs="仿宋"/>
          <w:color w:val="auto"/>
          <w:sz w:val="28"/>
          <w:szCs w:val="28"/>
        </w:rPr>
      </w:pPr>
    </w:p>
    <w:p>
      <w:pPr>
        <w:pStyle w:val="6"/>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5"/>
        <w:rPr>
          <w:rFonts w:hint="eastAsia" w:ascii="仿宋" w:hAnsi="仿宋" w:eastAsia="仿宋" w:cs="仿宋"/>
          <w:color w:val="auto"/>
          <w:sz w:val="28"/>
          <w:szCs w:val="28"/>
        </w:rPr>
      </w:pPr>
    </w:p>
    <w:p>
      <w:pPr>
        <w:pStyle w:val="6"/>
        <w:rPr>
          <w:rFonts w:hint="eastAsia" w:ascii="仿宋" w:hAnsi="仿宋" w:eastAsia="仿宋" w:cs="仿宋"/>
          <w:color w:val="auto"/>
          <w:sz w:val="28"/>
          <w:szCs w:val="28"/>
        </w:rPr>
      </w:pPr>
    </w:p>
    <w:p>
      <w:pPr>
        <w:pStyle w:val="3"/>
        <w:bidi w:val="0"/>
        <w:jc w:val="center"/>
        <w:rPr>
          <w:rFonts w:hint="eastAsia"/>
          <w:color w:val="auto"/>
          <w:highlight w:val="none"/>
        </w:rPr>
      </w:pPr>
      <w:bookmarkStart w:id="1" w:name="_Toc26272340"/>
      <w:bookmarkStart w:id="2" w:name="_Toc25203"/>
    </w:p>
    <w:p>
      <w:pPr>
        <w:pStyle w:val="3"/>
        <w:bidi w:val="0"/>
        <w:jc w:val="center"/>
        <w:rPr>
          <w:rFonts w:hint="eastAsia"/>
          <w:color w:val="auto"/>
          <w:highlight w:val="none"/>
        </w:rPr>
      </w:pPr>
    </w:p>
    <w:p>
      <w:pPr>
        <w:pStyle w:val="3"/>
        <w:bidi w:val="0"/>
        <w:jc w:val="center"/>
        <w:rPr>
          <w:rFonts w:hint="eastAsia"/>
          <w:color w:val="auto"/>
          <w:highlight w:val="none"/>
        </w:rPr>
      </w:pPr>
    </w:p>
    <w:p>
      <w:pPr>
        <w:pStyle w:val="3"/>
        <w:bidi w:val="0"/>
        <w:jc w:val="center"/>
        <w:rPr>
          <w:rFonts w:hint="eastAsia"/>
          <w:color w:val="auto"/>
          <w:highlight w:val="none"/>
        </w:rPr>
      </w:pPr>
    </w:p>
    <w:p>
      <w:pPr>
        <w:pStyle w:val="3"/>
        <w:bidi w:val="0"/>
        <w:jc w:val="center"/>
        <w:rPr>
          <w:rFonts w:hint="eastAsia"/>
          <w:color w:val="auto"/>
          <w:highlight w:val="none"/>
        </w:rPr>
      </w:pPr>
    </w:p>
    <w:p>
      <w:pPr>
        <w:pStyle w:val="3"/>
        <w:bidi w:val="0"/>
        <w:jc w:val="center"/>
        <w:rPr>
          <w:rFonts w:hint="eastAsia"/>
          <w:color w:val="auto"/>
          <w:highlight w:val="none"/>
        </w:rPr>
      </w:pPr>
    </w:p>
    <w:p>
      <w:pPr>
        <w:pStyle w:val="3"/>
        <w:numPr>
          <w:ilvl w:val="0"/>
          <w:numId w:val="1"/>
        </w:numPr>
        <w:bidi w:val="0"/>
        <w:jc w:val="center"/>
        <w:rPr>
          <w:rFonts w:hint="eastAsia"/>
          <w:color w:val="auto"/>
          <w:highlight w:val="none"/>
          <w:lang w:eastAsia="zh-CN"/>
        </w:rPr>
      </w:pPr>
      <w:r>
        <w:rPr>
          <w:rFonts w:hint="eastAsia"/>
          <w:color w:val="auto"/>
          <w:highlight w:val="none"/>
        </w:rPr>
        <w:t xml:space="preserve"> </w:t>
      </w:r>
      <w:bookmarkEnd w:id="1"/>
      <w:r>
        <w:rPr>
          <w:rFonts w:hint="eastAsia"/>
          <w:color w:val="auto"/>
          <w:highlight w:val="none"/>
          <w:lang w:eastAsia="zh-CN"/>
        </w:rPr>
        <w:t>谈判邀请函</w:t>
      </w:r>
      <w:bookmarkEnd w:id="2"/>
    </w:p>
    <w:p>
      <w:pPr>
        <w:widowControl w:val="0"/>
        <w:numPr>
          <w:ilvl w:val="0"/>
          <w:numId w:val="0"/>
        </w:numPr>
        <w:jc w:val="both"/>
        <w:rPr>
          <w:rFonts w:hint="eastAsia"/>
          <w:color w:val="auto"/>
          <w:lang w:eastAsia="zh-CN"/>
        </w:rPr>
      </w:pPr>
    </w:p>
    <w:p>
      <w:pPr>
        <w:pStyle w:val="5"/>
        <w:rPr>
          <w:rFonts w:hint="eastAsia"/>
          <w:color w:val="auto"/>
          <w:lang w:eastAsia="zh-CN"/>
        </w:rPr>
      </w:pPr>
    </w:p>
    <w:p>
      <w:pPr>
        <w:pStyle w:val="6"/>
        <w:rPr>
          <w:rFonts w:hint="eastAsia"/>
          <w:color w:val="auto"/>
          <w:lang w:eastAsia="zh-CN"/>
        </w:rPr>
      </w:pPr>
    </w:p>
    <w:p>
      <w:pPr>
        <w:rPr>
          <w:rFonts w:hint="eastAsia"/>
          <w:color w:val="auto"/>
          <w:lang w:eastAsia="zh-CN"/>
        </w:rPr>
      </w:pPr>
    </w:p>
    <w:p>
      <w:pPr>
        <w:pStyle w:val="5"/>
        <w:rPr>
          <w:rFonts w:hint="eastAsia"/>
          <w:color w:val="auto"/>
          <w:lang w:eastAsia="zh-CN"/>
        </w:rPr>
      </w:pPr>
    </w:p>
    <w:p>
      <w:pPr>
        <w:pStyle w:val="6"/>
        <w:rPr>
          <w:rFonts w:hint="eastAsia"/>
          <w:color w:val="auto"/>
          <w:lang w:eastAsia="zh-CN"/>
        </w:rPr>
      </w:pPr>
    </w:p>
    <w:p>
      <w:pPr>
        <w:rPr>
          <w:rFonts w:hint="eastAsia"/>
          <w:color w:val="auto"/>
          <w:lang w:eastAsia="zh-CN"/>
        </w:rPr>
      </w:pPr>
    </w:p>
    <w:p>
      <w:pPr>
        <w:pStyle w:val="5"/>
        <w:rPr>
          <w:rFonts w:hint="eastAsia"/>
          <w:color w:val="auto"/>
          <w:lang w:eastAsia="zh-CN"/>
        </w:rPr>
      </w:pPr>
    </w:p>
    <w:p>
      <w:pPr>
        <w:pStyle w:val="6"/>
        <w:rPr>
          <w:rFonts w:hint="eastAsia"/>
          <w:color w:val="auto"/>
          <w:lang w:eastAsia="zh-CN"/>
        </w:rPr>
      </w:pPr>
    </w:p>
    <w:p>
      <w:pPr>
        <w:rPr>
          <w:rFonts w:hint="eastAsia"/>
          <w:color w:val="auto"/>
          <w:lang w:eastAsia="zh-CN"/>
        </w:rPr>
      </w:pPr>
    </w:p>
    <w:p>
      <w:pPr>
        <w:pStyle w:val="5"/>
        <w:rPr>
          <w:rFonts w:hint="eastAsia"/>
          <w:color w:val="auto"/>
          <w:lang w:eastAsia="zh-CN"/>
        </w:rPr>
      </w:pPr>
    </w:p>
    <w:p>
      <w:pPr>
        <w:pStyle w:val="6"/>
        <w:rPr>
          <w:rFonts w:hint="eastAsia"/>
          <w:color w:val="auto"/>
          <w:lang w:eastAsia="zh-CN"/>
        </w:rPr>
      </w:pPr>
    </w:p>
    <w:p>
      <w:pPr>
        <w:rPr>
          <w:rFonts w:hint="eastAsia"/>
          <w:color w:val="auto"/>
          <w:lang w:eastAsia="zh-CN"/>
        </w:rPr>
      </w:pPr>
    </w:p>
    <w:p>
      <w:pPr>
        <w:pStyle w:val="5"/>
        <w:rPr>
          <w:rFonts w:hint="eastAsia"/>
          <w:color w:val="auto"/>
          <w:lang w:eastAsia="zh-CN"/>
        </w:rPr>
      </w:pPr>
    </w:p>
    <w:p>
      <w:pPr>
        <w:pStyle w:val="6"/>
        <w:rPr>
          <w:rFonts w:hint="eastAsia"/>
          <w:color w:val="auto"/>
          <w:lang w:eastAsia="zh-CN"/>
        </w:rPr>
      </w:pPr>
    </w:p>
    <w:p>
      <w:pPr>
        <w:rPr>
          <w:rFonts w:hint="eastAsia"/>
          <w:color w:val="auto"/>
          <w:lang w:eastAsia="zh-CN"/>
        </w:rPr>
      </w:pPr>
    </w:p>
    <w:p>
      <w:pPr>
        <w:pStyle w:val="5"/>
        <w:rPr>
          <w:rFonts w:hint="eastAsia"/>
          <w:color w:val="auto"/>
          <w:lang w:eastAsia="zh-CN"/>
        </w:rPr>
      </w:pPr>
    </w:p>
    <w:p>
      <w:pPr>
        <w:adjustRightInd w:val="0"/>
        <w:snapToGrid w:val="0"/>
        <w:spacing w:line="360" w:lineRule="auto"/>
        <w:jc w:val="center"/>
        <w:rPr>
          <w:rFonts w:hint="eastAsia" w:ascii="仿宋" w:hAnsi="仿宋" w:eastAsia="仿宋" w:cs="仿宋"/>
          <w:b/>
          <w:color w:val="auto"/>
          <w:kern w:val="28"/>
          <w:sz w:val="28"/>
          <w:szCs w:val="28"/>
          <w:highlight w:val="none"/>
          <w:lang w:eastAsia="zh-CN"/>
        </w:rPr>
      </w:pPr>
      <w:r>
        <w:rPr>
          <w:rFonts w:hint="eastAsia" w:ascii="仿宋" w:hAnsi="仿宋" w:eastAsia="仿宋" w:cs="仿宋"/>
          <w:b/>
          <w:color w:val="auto"/>
          <w:kern w:val="28"/>
          <w:sz w:val="28"/>
          <w:szCs w:val="28"/>
          <w:highlight w:val="none"/>
        </w:rPr>
        <w:t xml:space="preserve">  </w:t>
      </w:r>
      <w:r>
        <w:rPr>
          <w:rFonts w:hint="eastAsia" w:ascii="仿宋" w:hAnsi="仿宋" w:eastAsia="仿宋" w:cs="仿宋"/>
          <w:b/>
          <w:color w:val="auto"/>
          <w:kern w:val="28"/>
          <w:sz w:val="28"/>
          <w:szCs w:val="28"/>
          <w:highlight w:val="none"/>
          <w:lang w:eastAsia="zh-CN"/>
        </w:rPr>
        <w:t>谈判邀请函</w:t>
      </w:r>
    </w:p>
    <w:p>
      <w:pPr>
        <w:pStyle w:val="13"/>
        <w:widowControl/>
        <w:numPr>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rPr>
      </w:pPr>
      <w:r>
        <w:rPr>
          <w:rStyle w:val="18"/>
          <w:rFonts w:hint="eastAsia" w:ascii="仿宋" w:hAnsi="仿宋" w:eastAsia="仿宋" w:cs="仿宋"/>
          <w:bCs/>
          <w:color w:val="auto"/>
          <w:sz w:val="24"/>
          <w:szCs w:val="24"/>
          <w:highlight w:val="none"/>
          <w:shd w:val="clear" w:color="auto" w:fill="FFFFFF"/>
          <w:lang w:val="en-US"/>
        </w:rPr>
        <w:t>一、</w:t>
      </w:r>
      <w:r>
        <w:rPr>
          <w:rStyle w:val="18"/>
          <w:rFonts w:hint="eastAsia" w:ascii="仿宋" w:hAnsi="仿宋" w:eastAsia="仿宋" w:cs="仿宋"/>
          <w:bCs/>
          <w:color w:val="auto"/>
          <w:sz w:val="24"/>
          <w:szCs w:val="24"/>
          <w:highlight w:val="none"/>
          <w:shd w:val="clear" w:color="auto" w:fill="FFFFFF"/>
        </w:rPr>
        <w:t>项目基本情况</w:t>
      </w:r>
    </w:p>
    <w:p>
      <w:pPr>
        <w:pStyle w:val="13"/>
        <w:widowControl/>
        <w:spacing w:beforeAutospacing="0" w:afterAutospacing="0" w:line="360" w:lineRule="auto"/>
        <w:ind w:firstLine="420"/>
        <w:textAlignment w:val="baseline"/>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采购方式：院内谈判</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综合评审最优法</w:t>
      </w:r>
      <w:r>
        <w:rPr>
          <w:rFonts w:hint="eastAsia" w:ascii="仿宋" w:hAnsi="仿宋" w:eastAsia="仿宋" w:cs="仿宋"/>
          <w:color w:val="auto"/>
          <w:sz w:val="24"/>
          <w:szCs w:val="24"/>
          <w:highlight w:val="none"/>
          <w:shd w:val="clear" w:color="auto" w:fill="FFFFFF"/>
          <w:lang w:eastAsia="zh-CN"/>
        </w:rPr>
        <w:t>）</w:t>
      </w:r>
    </w:p>
    <w:p>
      <w:pPr>
        <w:pStyle w:val="13"/>
        <w:widowControl/>
        <w:spacing w:beforeAutospacing="0" w:afterAutospacing="0" w:line="360" w:lineRule="auto"/>
        <w:ind w:firstLine="420"/>
        <w:textAlignment w:val="baseline"/>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采购需求：</w:t>
      </w:r>
    </w:p>
    <w:tbl>
      <w:tblPr>
        <w:tblStyle w:val="15"/>
        <w:tblpPr w:leftFromText="180" w:rightFromText="180" w:vertAnchor="text" w:horzAnchor="page" w:tblpX="1384" w:tblpY="564"/>
        <w:tblOverlap w:val="never"/>
        <w:tblW w:w="9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59"/>
        <w:gridCol w:w="2147"/>
        <w:gridCol w:w="1777"/>
        <w:gridCol w:w="1777"/>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atLeast"/>
        </w:trPr>
        <w:tc>
          <w:tcPr>
            <w:tcW w:w="959"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47"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777"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1777"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p>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436"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49" w:hRule="atLeast"/>
        </w:trPr>
        <w:tc>
          <w:tcPr>
            <w:tcW w:w="959"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147"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除颤监护仪</w:t>
            </w:r>
          </w:p>
        </w:tc>
        <w:tc>
          <w:tcPr>
            <w:tcW w:w="1777"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3台</w:t>
            </w:r>
          </w:p>
        </w:tc>
        <w:tc>
          <w:tcPr>
            <w:tcW w:w="1777" w:type="dxa"/>
            <w:shd w:val="clear" w:color="auto" w:fill="FFFFFF"/>
            <w:noWrap/>
            <w:tcMar>
              <w:left w:w="105" w:type="dxa"/>
              <w:right w:w="105" w:type="dxa"/>
            </w:tcMar>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178500.00</w:t>
            </w:r>
          </w:p>
        </w:tc>
        <w:tc>
          <w:tcPr>
            <w:tcW w:w="2436"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技术参数详细见附件《谈判文件》</w:t>
            </w:r>
          </w:p>
        </w:tc>
      </w:tr>
    </w:tbl>
    <w:p>
      <w:pPr>
        <w:pStyle w:val="13"/>
        <w:widowControl/>
        <w:spacing w:beforeAutospacing="0" w:afterAutospacing="0" w:line="360" w:lineRule="auto"/>
        <w:textAlignment w:val="baseline"/>
        <w:rPr>
          <w:rFonts w:hint="eastAsia" w:ascii="仿宋" w:hAnsi="仿宋" w:eastAsia="仿宋" w:cs="仿宋"/>
          <w:color w:val="auto"/>
          <w:sz w:val="24"/>
          <w:szCs w:val="24"/>
          <w:highlight w:val="none"/>
        </w:rPr>
      </w:pPr>
      <w:r>
        <w:rPr>
          <w:rStyle w:val="18"/>
          <w:rFonts w:hint="eastAsia" w:ascii="仿宋" w:hAnsi="仿宋" w:eastAsia="仿宋" w:cs="仿宋"/>
          <w:bCs/>
          <w:color w:val="auto"/>
          <w:sz w:val="24"/>
          <w:szCs w:val="24"/>
          <w:highlight w:val="none"/>
          <w:shd w:val="clear" w:color="auto" w:fill="FFFFFF"/>
          <w:lang w:val="en-US" w:eastAsia="zh-CN"/>
        </w:rPr>
        <w:t>二、</w:t>
      </w:r>
      <w:r>
        <w:rPr>
          <w:rStyle w:val="18"/>
          <w:rFonts w:hint="eastAsia" w:ascii="仿宋" w:hAnsi="仿宋" w:eastAsia="仿宋" w:cs="仿宋"/>
          <w:bCs/>
          <w:color w:val="auto"/>
          <w:sz w:val="24"/>
          <w:szCs w:val="24"/>
          <w:highlight w:val="none"/>
          <w:shd w:val="clear" w:color="auto" w:fill="FFFFFF"/>
          <w:lang w:eastAsia="zh-CN"/>
        </w:rPr>
        <w:t>供应商</w:t>
      </w:r>
      <w:r>
        <w:rPr>
          <w:rStyle w:val="18"/>
          <w:rFonts w:hint="eastAsia" w:ascii="仿宋" w:hAnsi="仿宋" w:eastAsia="仿宋" w:cs="仿宋"/>
          <w:bCs/>
          <w:color w:val="auto"/>
          <w:sz w:val="24"/>
          <w:szCs w:val="24"/>
          <w:highlight w:val="none"/>
          <w:shd w:val="clear" w:color="auto" w:fill="FFFFFF"/>
        </w:rPr>
        <w:t>的资格要求</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2.1</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具有合法的法人资格，并在法律、财务上与项目经办人不存在关联关系；</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2.2</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报价设备或服务须在其法定营业范围内； </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2.3</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提供有效的三证合一的营业执照、医疗器械经营许可证的副本原件； </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2.4</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单位负责人为同一人或者存在直接控股、管理关系的不同投标人；不得参加同一合同项下的谈判活动。</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2.5</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提供偏离情况响应表，必须完全满足带"★"号条款中要求。</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Style w:val="18"/>
          <w:rFonts w:hint="eastAsia" w:ascii="仿宋" w:hAnsi="仿宋" w:eastAsia="仿宋" w:cs="仿宋"/>
          <w:b/>
          <w:bCs/>
          <w:i w:val="0"/>
          <w:iCs w:val="0"/>
          <w:caps w:val="0"/>
          <w:color w:val="auto"/>
          <w:spacing w:val="0"/>
          <w:sz w:val="24"/>
          <w:szCs w:val="24"/>
          <w:highlight w:val="none"/>
          <w:shd w:val="clear" w:fill="FFFFFF"/>
          <w:vertAlign w:val="baseline"/>
          <w:lang w:val="en-US"/>
        </w:rPr>
      </w:pPr>
      <w:r>
        <w:rPr>
          <w:rStyle w:val="18"/>
          <w:rFonts w:hint="eastAsia" w:ascii="仿宋" w:hAnsi="仿宋" w:eastAsia="仿宋" w:cs="仿宋"/>
          <w:b/>
          <w:bCs/>
          <w:i w:val="0"/>
          <w:iCs w:val="0"/>
          <w:caps w:val="0"/>
          <w:color w:val="auto"/>
          <w:spacing w:val="0"/>
          <w:sz w:val="24"/>
          <w:szCs w:val="24"/>
          <w:highlight w:val="none"/>
          <w:shd w:val="clear" w:fill="FFFFFF"/>
          <w:vertAlign w:val="baseline"/>
          <w:lang w:val="en-US" w:eastAsia="zh-CN"/>
        </w:rPr>
        <w:t>三、递交报价文件截止时间、递交方式</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baseline"/>
        <w:rPr>
          <w:rFonts w:hint="eastAsia" w:ascii="仿宋" w:hAnsi="仿宋" w:eastAsia="仿宋" w:cs="仿宋"/>
          <w:i w:val="0"/>
          <w:iCs w:val="0"/>
          <w:caps w:val="0"/>
          <w:color w:val="FF0000"/>
          <w:spacing w:val="0"/>
          <w:sz w:val="24"/>
          <w:szCs w:val="24"/>
          <w:highlight w:val="none"/>
          <w:shd w:val="clear" w:fill="FFFFFF"/>
          <w:vertAlign w:val="baseline"/>
        </w:rPr>
      </w:pPr>
      <w:r>
        <w:rPr>
          <w:rFonts w:hint="eastAsia" w:ascii="仿宋" w:hAnsi="仿宋" w:eastAsia="仿宋" w:cs="仿宋"/>
          <w:i w:val="0"/>
          <w:iCs w:val="0"/>
          <w:caps w:val="0"/>
          <w:color w:val="FF0000"/>
          <w:spacing w:val="0"/>
          <w:sz w:val="24"/>
          <w:szCs w:val="24"/>
          <w:highlight w:val="none"/>
          <w:shd w:val="clear" w:fill="FFFFFF"/>
          <w:vertAlign w:val="baseline"/>
          <w:lang w:val="en-US" w:eastAsia="zh-CN"/>
        </w:rPr>
        <w:t>3.1</w:t>
      </w:r>
      <w:r>
        <w:rPr>
          <w:rFonts w:hint="eastAsia" w:ascii="仿宋" w:hAnsi="仿宋" w:eastAsia="仿宋" w:cs="仿宋"/>
          <w:i w:val="0"/>
          <w:iCs w:val="0"/>
          <w:caps w:val="0"/>
          <w:color w:val="FF0000"/>
          <w:spacing w:val="0"/>
          <w:sz w:val="24"/>
          <w:szCs w:val="24"/>
          <w:highlight w:val="none"/>
          <w:shd w:val="clear" w:fill="FFFFFF"/>
          <w:vertAlign w:val="baseline"/>
          <w:lang w:eastAsia="zh-CN"/>
        </w:rPr>
        <w:t>递交</w:t>
      </w:r>
      <w:r>
        <w:rPr>
          <w:rFonts w:hint="eastAsia" w:ascii="仿宋" w:hAnsi="仿宋" w:eastAsia="仿宋" w:cs="仿宋"/>
          <w:i w:val="0"/>
          <w:iCs w:val="0"/>
          <w:caps w:val="0"/>
          <w:color w:val="FF0000"/>
          <w:spacing w:val="0"/>
          <w:sz w:val="24"/>
          <w:szCs w:val="24"/>
          <w:highlight w:val="none"/>
          <w:shd w:val="clear" w:fill="FFFFFF"/>
          <w:vertAlign w:val="baseline"/>
          <w:lang w:val="en-US" w:eastAsia="zh-CN"/>
        </w:rPr>
        <w:t>报价文件</w:t>
      </w:r>
      <w:r>
        <w:rPr>
          <w:rFonts w:hint="eastAsia" w:ascii="仿宋" w:hAnsi="仿宋" w:eastAsia="仿宋" w:cs="仿宋"/>
          <w:i w:val="0"/>
          <w:iCs w:val="0"/>
          <w:caps w:val="0"/>
          <w:color w:val="FF0000"/>
          <w:spacing w:val="0"/>
          <w:sz w:val="24"/>
          <w:szCs w:val="24"/>
          <w:highlight w:val="none"/>
          <w:shd w:val="clear" w:fill="FFFFFF"/>
          <w:vertAlign w:val="baseline"/>
        </w:rPr>
        <w:t>截止时间：</w:t>
      </w:r>
      <w:r>
        <w:rPr>
          <w:rFonts w:hint="eastAsia" w:ascii="仿宋" w:hAnsi="仿宋" w:eastAsia="仿宋" w:cs="仿宋"/>
          <w:i w:val="0"/>
          <w:iCs w:val="0"/>
          <w:caps w:val="0"/>
          <w:color w:val="FF0000"/>
          <w:spacing w:val="0"/>
          <w:sz w:val="24"/>
          <w:szCs w:val="24"/>
          <w:highlight w:val="none"/>
          <w:shd w:val="clear" w:fill="FFFFFF"/>
          <w:vertAlign w:val="baseline"/>
          <w:lang w:val="en-US" w:eastAsia="zh-CN"/>
        </w:rPr>
        <w:t>2021</w:t>
      </w:r>
      <w:r>
        <w:rPr>
          <w:rFonts w:hint="eastAsia" w:ascii="仿宋" w:hAnsi="仿宋" w:eastAsia="仿宋" w:cs="仿宋"/>
          <w:i w:val="0"/>
          <w:iCs w:val="0"/>
          <w:caps w:val="0"/>
          <w:color w:val="FF0000"/>
          <w:spacing w:val="0"/>
          <w:sz w:val="24"/>
          <w:szCs w:val="24"/>
          <w:highlight w:val="none"/>
          <w:shd w:val="clear" w:fill="FFFFFF"/>
          <w:vertAlign w:val="baseline"/>
        </w:rPr>
        <w:t>年</w:t>
      </w:r>
      <w:r>
        <w:rPr>
          <w:rFonts w:hint="eastAsia" w:ascii="仿宋" w:hAnsi="仿宋" w:eastAsia="仿宋" w:cs="仿宋"/>
          <w:i w:val="0"/>
          <w:iCs w:val="0"/>
          <w:caps w:val="0"/>
          <w:color w:val="FF0000"/>
          <w:spacing w:val="0"/>
          <w:sz w:val="24"/>
          <w:szCs w:val="24"/>
          <w:highlight w:val="none"/>
          <w:shd w:val="clear" w:fill="FFFFFF"/>
          <w:vertAlign w:val="baseline"/>
          <w:lang w:val="en-US" w:eastAsia="zh-CN"/>
        </w:rPr>
        <w:t>12</w:t>
      </w:r>
      <w:r>
        <w:rPr>
          <w:rFonts w:hint="eastAsia" w:ascii="仿宋" w:hAnsi="仿宋" w:eastAsia="仿宋" w:cs="仿宋"/>
          <w:i w:val="0"/>
          <w:iCs w:val="0"/>
          <w:caps w:val="0"/>
          <w:color w:val="FF0000"/>
          <w:spacing w:val="0"/>
          <w:sz w:val="24"/>
          <w:szCs w:val="24"/>
          <w:highlight w:val="none"/>
          <w:shd w:val="clear" w:fill="FFFFFF"/>
          <w:vertAlign w:val="baseline"/>
        </w:rPr>
        <w:t>月</w:t>
      </w:r>
      <w:r>
        <w:rPr>
          <w:rFonts w:hint="eastAsia" w:ascii="仿宋" w:hAnsi="仿宋" w:eastAsia="仿宋" w:cs="仿宋"/>
          <w:i w:val="0"/>
          <w:iCs w:val="0"/>
          <w:caps w:val="0"/>
          <w:color w:val="FF0000"/>
          <w:spacing w:val="0"/>
          <w:sz w:val="24"/>
          <w:szCs w:val="24"/>
          <w:highlight w:val="none"/>
          <w:shd w:val="clear" w:fill="FFFFFF"/>
          <w:vertAlign w:val="baseline"/>
          <w:lang w:val="en-US" w:eastAsia="zh-CN"/>
        </w:rPr>
        <w:t>6</w:t>
      </w:r>
      <w:r>
        <w:rPr>
          <w:rFonts w:hint="eastAsia" w:ascii="仿宋" w:hAnsi="仿宋" w:eastAsia="仿宋" w:cs="仿宋"/>
          <w:i w:val="0"/>
          <w:iCs w:val="0"/>
          <w:caps w:val="0"/>
          <w:color w:val="FF0000"/>
          <w:spacing w:val="0"/>
          <w:sz w:val="24"/>
          <w:szCs w:val="24"/>
          <w:highlight w:val="none"/>
          <w:shd w:val="clear" w:fill="FFFFFF"/>
          <w:vertAlign w:val="baseline"/>
        </w:rPr>
        <w:t>日</w:t>
      </w:r>
      <w:r>
        <w:rPr>
          <w:rFonts w:hint="eastAsia" w:ascii="仿宋" w:hAnsi="仿宋" w:eastAsia="仿宋" w:cs="仿宋"/>
          <w:i w:val="0"/>
          <w:iCs w:val="0"/>
          <w:caps w:val="0"/>
          <w:color w:val="FF0000"/>
          <w:spacing w:val="0"/>
          <w:sz w:val="24"/>
          <w:szCs w:val="24"/>
          <w:highlight w:val="none"/>
          <w:shd w:val="clear" w:fill="FFFFFF"/>
          <w:vertAlign w:val="baseline"/>
          <w:lang w:val="en-US" w:eastAsia="zh-CN"/>
        </w:rPr>
        <w:t>17</w:t>
      </w:r>
      <w:r>
        <w:rPr>
          <w:rFonts w:hint="eastAsia" w:ascii="仿宋" w:hAnsi="仿宋" w:eastAsia="仿宋" w:cs="仿宋"/>
          <w:i w:val="0"/>
          <w:iCs w:val="0"/>
          <w:caps w:val="0"/>
          <w:color w:val="FF0000"/>
          <w:spacing w:val="0"/>
          <w:sz w:val="24"/>
          <w:szCs w:val="24"/>
          <w:highlight w:val="none"/>
          <w:shd w:val="clear" w:fill="FFFFFF"/>
          <w:vertAlign w:val="baseline"/>
        </w:rPr>
        <w:t>:00（北京时间）</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baseline"/>
        <w:rPr>
          <w:rFonts w:hint="eastAsia" w:ascii="仿宋" w:hAnsi="仿宋" w:eastAsia="仿宋" w:cs="仿宋"/>
          <w:i w:val="0"/>
          <w:iCs w:val="0"/>
          <w:caps w:val="0"/>
          <w:color w:val="FF0000"/>
          <w:spacing w:val="0"/>
          <w:sz w:val="24"/>
          <w:szCs w:val="24"/>
          <w:highlight w:val="none"/>
          <w:shd w:val="clear" w:fill="FFFFFF"/>
          <w:vertAlign w:val="baseline"/>
          <w:lang w:val="en-US" w:eastAsia="zh-CN"/>
        </w:rPr>
      </w:pPr>
      <w:r>
        <w:rPr>
          <w:rFonts w:hint="eastAsia" w:ascii="仿宋" w:hAnsi="仿宋" w:eastAsia="仿宋" w:cs="仿宋"/>
          <w:i w:val="0"/>
          <w:iCs w:val="0"/>
          <w:caps w:val="0"/>
          <w:color w:val="FF0000"/>
          <w:spacing w:val="0"/>
          <w:sz w:val="24"/>
          <w:szCs w:val="24"/>
          <w:highlight w:val="none"/>
          <w:shd w:val="clear" w:fill="FFFFFF"/>
          <w:vertAlign w:val="baseline"/>
          <w:lang w:val="en-US" w:eastAsia="zh-CN"/>
        </w:rPr>
        <w:t>3.2</w:t>
      </w:r>
      <w:r>
        <w:rPr>
          <w:rFonts w:hint="eastAsia" w:ascii="仿宋" w:hAnsi="仿宋" w:eastAsia="仿宋" w:cs="仿宋"/>
          <w:i w:val="0"/>
          <w:iCs w:val="0"/>
          <w:caps w:val="0"/>
          <w:color w:val="FF0000"/>
          <w:spacing w:val="0"/>
          <w:sz w:val="24"/>
          <w:szCs w:val="24"/>
          <w:shd w:val="clear" w:fill="FFFFFF"/>
        </w:rPr>
        <w:t>报价文件递交份数：6份（1份正本、5份副本）</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3.3报价文件递交方式（以下方式均可）：</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（1）电子邮件：</w:t>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fldChar w:fldCharType="begin"/>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instrText xml:space="preserve"> HYPERLINK "mailto:XXXXX@XXX.com" </w:instrText>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fldChar w:fldCharType="separate"/>
      </w:r>
      <w:r>
        <w:rPr>
          <w:rStyle w:val="19"/>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t>yxzb3959@126.com</w:t>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fldChar w:fldCharType="end"/>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 xml:space="preserve">  林小姐</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（2）文件邮寄：</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收件人：林小姐</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收件电话：0760-88662120-1626</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收件地址：中山市小榄镇菊城大道中65号（小榄人民医院医学装备科）</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baseline"/>
        <w:rPr>
          <w:rStyle w:val="18"/>
          <w:rFonts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（3）现场递交：中山市小榄人民医院内科大楼九楼医学装备管理科。</w:t>
      </w:r>
    </w:p>
    <w:p>
      <w:pPr>
        <w:pStyle w:val="13"/>
        <w:widowControl/>
        <w:numPr>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rPr>
      </w:pPr>
      <w:r>
        <w:rPr>
          <w:rStyle w:val="18"/>
          <w:rFonts w:hint="eastAsia" w:ascii="仿宋" w:hAnsi="仿宋" w:eastAsia="仿宋" w:cs="仿宋"/>
          <w:bCs/>
          <w:color w:val="auto"/>
          <w:sz w:val="24"/>
          <w:szCs w:val="24"/>
          <w:highlight w:val="none"/>
          <w:shd w:val="clear" w:color="auto" w:fill="FFFFFF"/>
          <w:lang w:val="en-US"/>
        </w:rPr>
        <w:t>四、</w:t>
      </w:r>
      <w:r>
        <w:rPr>
          <w:rStyle w:val="18"/>
          <w:rFonts w:hint="eastAsia" w:ascii="仿宋" w:hAnsi="仿宋" w:eastAsia="仿宋" w:cs="仿宋"/>
          <w:bCs/>
          <w:color w:val="auto"/>
          <w:sz w:val="24"/>
          <w:szCs w:val="24"/>
          <w:highlight w:val="none"/>
          <w:shd w:val="clear" w:color="auto" w:fill="FFFFFF"/>
        </w:rPr>
        <w:t>公告期限</w:t>
      </w:r>
    </w:p>
    <w:p>
      <w:pPr>
        <w:pStyle w:val="13"/>
        <w:widowControl/>
        <w:shd w:val="clear" w:color="auto" w:fill="FFFFFF"/>
        <w:spacing w:beforeAutospacing="0" w:afterAutospacing="0" w:line="360" w:lineRule="auto"/>
        <w:ind w:firstLine="420"/>
        <w:textAlignment w:val="baseline"/>
        <w:rPr>
          <w:rStyle w:val="18"/>
          <w:rFonts w:hint="eastAsia" w:ascii="仿宋" w:hAnsi="仿宋" w:eastAsia="仿宋" w:cs="仿宋"/>
          <w:bCs/>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自本公告发布之日起</w:t>
      </w:r>
      <w:r>
        <w:rPr>
          <w:rFonts w:hint="eastAsia" w:ascii="仿宋" w:hAnsi="仿宋" w:eastAsia="仿宋" w:cs="仿宋"/>
          <w:color w:val="auto"/>
          <w:sz w:val="24"/>
          <w:szCs w:val="24"/>
          <w:highlight w:val="none"/>
          <w:shd w:val="clear" w:color="auto" w:fill="FFFFFF"/>
          <w:lang w:val="en-US" w:eastAsia="zh-CN"/>
        </w:rPr>
        <w:t>五</w:t>
      </w:r>
      <w:r>
        <w:rPr>
          <w:rFonts w:hint="eastAsia" w:ascii="仿宋" w:hAnsi="仿宋" w:eastAsia="仿宋" w:cs="仿宋"/>
          <w:color w:val="auto"/>
          <w:sz w:val="24"/>
          <w:szCs w:val="24"/>
          <w:highlight w:val="none"/>
          <w:shd w:val="clear" w:color="auto" w:fill="FFFFFF"/>
        </w:rPr>
        <w:t>个工作日。</w:t>
      </w:r>
    </w:p>
    <w:p>
      <w:pPr>
        <w:pStyle w:val="13"/>
        <w:widowControl/>
        <w:numPr>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rPr>
      </w:pPr>
      <w:r>
        <w:rPr>
          <w:rStyle w:val="18"/>
          <w:rFonts w:hint="eastAsia" w:ascii="仿宋" w:hAnsi="仿宋" w:eastAsia="仿宋" w:cs="仿宋"/>
          <w:bCs/>
          <w:color w:val="auto"/>
          <w:sz w:val="24"/>
          <w:szCs w:val="24"/>
          <w:highlight w:val="none"/>
          <w:shd w:val="clear" w:color="auto" w:fill="FFFFFF"/>
          <w:lang w:val="en-US" w:eastAsia="zh-CN"/>
        </w:rPr>
        <w:t>五、</w:t>
      </w:r>
      <w:r>
        <w:rPr>
          <w:rStyle w:val="18"/>
          <w:rFonts w:hint="eastAsia" w:ascii="仿宋" w:hAnsi="仿宋" w:eastAsia="仿宋" w:cs="仿宋"/>
          <w:bCs/>
          <w:color w:val="auto"/>
          <w:sz w:val="24"/>
          <w:szCs w:val="24"/>
          <w:highlight w:val="none"/>
          <w:shd w:val="clear" w:color="auto" w:fill="FFFFFF"/>
          <w:lang w:eastAsia="zh-CN"/>
        </w:rPr>
        <w:t>报价文件</w:t>
      </w:r>
      <w:r>
        <w:rPr>
          <w:rStyle w:val="18"/>
          <w:rFonts w:hint="eastAsia" w:ascii="仿宋" w:hAnsi="仿宋" w:eastAsia="仿宋" w:cs="仿宋"/>
          <w:bCs/>
          <w:color w:val="auto"/>
          <w:sz w:val="24"/>
          <w:szCs w:val="24"/>
          <w:highlight w:val="none"/>
          <w:shd w:val="clear" w:color="auto" w:fill="FFFFFF"/>
        </w:rPr>
        <w:t>要求</w:t>
      </w:r>
    </w:p>
    <w:p>
      <w:pPr>
        <w:pStyle w:val="13"/>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报名时请各供应商按照以下要求提供完整的</w:t>
      </w:r>
      <w:r>
        <w:rPr>
          <w:rFonts w:hint="eastAsia" w:ascii="仿宋" w:hAnsi="仿宋" w:eastAsia="仿宋" w:cs="仿宋"/>
          <w:color w:val="auto"/>
          <w:sz w:val="24"/>
          <w:szCs w:val="24"/>
          <w:highlight w:val="none"/>
          <w:shd w:val="clear" w:color="auto" w:fill="FFFFFF"/>
          <w:lang w:eastAsia="zh-CN"/>
        </w:rPr>
        <w:t>报价文件</w:t>
      </w:r>
      <w:r>
        <w:rPr>
          <w:rFonts w:hint="eastAsia" w:ascii="仿宋" w:hAnsi="仿宋" w:eastAsia="仿宋" w:cs="仿宋"/>
          <w:color w:val="auto"/>
          <w:sz w:val="24"/>
          <w:szCs w:val="24"/>
          <w:highlight w:val="none"/>
          <w:shd w:val="clear" w:color="auto" w:fill="FFFFFF"/>
        </w:rPr>
        <w:t>，供</w:t>
      </w:r>
      <w:r>
        <w:rPr>
          <w:rFonts w:hint="eastAsia" w:ascii="仿宋" w:hAnsi="仿宋" w:eastAsia="仿宋" w:cs="仿宋"/>
          <w:color w:val="auto"/>
          <w:sz w:val="24"/>
          <w:szCs w:val="24"/>
          <w:highlight w:val="none"/>
          <w:shd w:val="clear" w:color="auto" w:fill="FFFFFF"/>
          <w:lang w:eastAsia="zh-CN"/>
        </w:rPr>
        <w:t>采购人</w:t>
      </w:r>
      <w:r>
        <w:rPr>
          <w:rFonts w:hint="eastAsia" w:ascii="仿宋" w:hAnsi="仿宋" w:eastAsia="仿宋" w:cs="仿宋"/>
          <w:color w:val="auto"/>
          <w:sz w:val="24"/>
          <w:szCs w:val="24"/>
          <w:highlight w:val="none"/>
          <w:shd w:val="clear" w:color="auto" w:fill="FFFFFF"/>
        </w:rPr>
        <w:t>进行</w:t>
      </w:r>
      <w:r>
        <w:rPr>
          <w:rFonts w:hint="eastAsia" w:ascii="仿宋" w:hAnsi="仿宋" w:eastAsia="仿宋" w:cs="仿宋"/>
          <w:color w:val="auto"/>
          <w:sz w:val="24"/>
          <w:szCs w:val="24"/>
          <w:highlight w:val="none"/>
          <w:shd w:val="clear" w:color="auto" w:fill="FFFFFF"/>
          <w:lang w:eastAsia="zh-CN"/>
        </w:rPr>
        <w:t>预审</w:t>
      </w:r>
      <w:r>
        <w:rPr>
          <w:rFonts w:hint="eastAsia" w:ascii="仿宋" w:hAnsi="仿宋" w:eastAsia="仿宋" w:cs="仿宋"/>
          <w:color w:val="auto"/>
          <w:sz w:val="24"/>
          <w:szCs w:val="24"/>
          <w:highlight w:val="none"/>
          <w:shd w:val="clear" w:color="auto" w:fill="FFFFFF"/>
        </w:rPr>
        <w:t>：</w:t>
      </w:r>
    </w:p>
    <w:p>
      <w:pPr>
        <w:pStyle w:val="7"/>
        <w:keepNext w:val="0"/>
        <w:keepLines w:val="0"/>
        <w:pageBreakBefore w:val="0"/>
        <w:widowControl w:val="0"/>
        <w:numPr>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（1）报价单</w:t>
      </w:r>
    </w:p>
    <w:p>
      <w:pPr>
        <w:pStyle w:val="7"/>
        <w:keepNext w:val="0"/>
        <w:keepLines w:val="0"/>
        <w:pageBreakBefore w:val="0"/>
        <w:widowControl w:val="0"/>
        <w:numPr>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（2）偏离表</w:t>
      </w:r>
    </w:p>
    <w:p>
      <w:pPr>
        <w:pStyle w:val="7"/>
        <w:keepNext w:val="0"/>
        <w:keepLines w:val="0"/>
        <w:pageBreakBefore w:val="0"/>
        <w:widowControl w:val="0"/>
        <w:numPr>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法定代表人证明书及其授权委托书</w:t>
      </w:r>
    </w:p>
    <w:p>
      <w:pPr>
        <w:pStyle w:val="7"/>
        <w:keepNext w:val="0"/>
        <w:keepLines w:val="0"/>
        <w:pageBreakBefore w:val="0"/>
        <w:widowControl w:val="0"/>
        <w:numPr>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单位负责人为同一人或者存在直接控股、管理关系的不同报价人，不得参加同一合同项下的谈判活动，供应商在参与本次谈判活动中未有围标、串标行为。并出具《无围标、串标行为承诺书》（加盖公章）。</w:t>
      </w:r>
    </w:p>
    <w:p>
      <w:pPr>
        <w:pStyle w:val="7"/>
        <w:keepNext w:val="0"/>
        <w:keepLines w:val="0"/>
        <w:pageBreakBefore w:val="0"/>
        <w:widowControl w:val="0"/>
        <w:numPr>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厂家资质证件（包括但不限于营业执照、医疗器械生产许可证等）</w:t>
      </w:r>
    </w:p>
    <w:p>
      <w:pPr>
        <w:pStyle w:val="7"/>
        <w:keepNext w:val="0"/>
        <w:keepLines w:val="0"/>
        <w:pageBreakBefore w:val="0"/>
        <w:widowControl w:val="0"/>
        <w:numPr>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各级经销商资质证件（包括但不限于营业执照、医疗器械经营许可证、备案等）</w:t>
      </w:r>
    </w:p>
    <w:p>
      <w:pPr>
        <w:pStyle w:val="7"/>
        <w:keepNext w:val="0"/>
        <w:keepLines w:val="0"/>
        <w:pageBreakBefore w:val="0"/>
        <w:widowControl w:val="0"/>
        <w:numPr>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产品医疗器械注册证</w:t>
      </w:r>
    </w:p>
    <w:p>
      <w:pPr>
        <w:pStyle w:val="7"/>
        <w:keepNext w:val="0"/>
        <w:keepLines w:val="0"/>
        <w:pageBreakBefore w:val="0"/>
        <w:widowControl w:val="0"/>
        <w:numPr>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售后服务承诺函</w:t>
      </w:r>
      <w:r>
        <w:rPr>
          <w:rFonts w:hint="eastAsia" w:ascii="仿宋" w:hAnsi="仿宋" w:eastAsia="仿宋" w:cs="仿宋"/>
          <w:color w:val="auto"/>
          <w:sz w:val="24"/>
          <w:szCs w:val="24"/>
          <w:highlight w:val="none"/>
        </w:rPr>
        <w:tab/>
      </w:r>
    </w:p>
    <w:p>
      <w:pPr>
        <w:pStyle w:val="7"/>
        <w:keepNext w:val="0"/>
        <w:keepLines w:val="0"/>
        <w:pageBreakBefore w:val="0"/>
        <w:widowControl w:val="0"/>
        <w:numPr>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产品配置清单</w:t>
      </w:r>
    </w:p>
    <w:p>
      <w:pPr>
        <w:pStyle w:val="7"/>
        <w:keepNext w:val="0"/>
        <w:keepLines w:val="0"/>
        <w:pageBreakBefore w:val="0"/>
        <w:widowControl w:val="0"/>
        <w:numPr>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产品彩页</w:t>
      </w:r>
    </w:p>
    <w:p>
      <w:pPr>
        <w:pStyle w:val="7"/>
        <w:keepNext w:val="0"/>
        <w:keepLines w:val="0"/>
        <w:pageBreakBefore w:val="0"/>
        <w:widowControl w:val="0"/>
        <w:numPr>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近三年广东地区三甲医院客户名单（销售合同）等。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baseline"/>
        <w:rPr>
          <w:rStyle w:val="18"/>
          <w:rFonts w:hint="eastAsia" w:ascii="仿宋" w:hAnsi="仿宋" w:eastAsia="仿宋" w:cs="仿宋"/>
          <w:b/>
          <w:bCs/>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bCs/>
          <w:i w:val="0"/>
          <w:iCs w:val="0"/>
          <w:caps w:val="0"/>
          <w:color w:val="auto"/>
          <w:spacing w:val="0"/>
          <w:sz w:val="24"/>
          <w:szCs w:val="24"/>
          <w:highlight w:val="none"/>
          <w:shd w:val="clear" w:fill="FFFFFF"/>
          <w:vertAlign w:val="baseline"/>
          <w:lang w:val="en-US" w:eastAsia="zh-CN"/>
        </w:rPr>
        <w:t>注：</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（1）以上文件均需盖公章。</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（2）供应商需与法人代表（或法定代表人授权委托人）一致。</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both"/>
        <w:textAlignment w:val="baseline"/>
        <w:rPr>
          <w:rStyle w:val="18"/>
          <w:rFonts w:hint="eastAsia" w:ascii="仿宋" w:hAnsi="仿宋" w:eastAsia="仿宋" w:cs="仿宋"/>
          <w:b w:val="0"/>
          <w:bCs w:val="0"/>
          <w:color w:val="auto"/>
          <w:sz w:val="24"/>
          <w:szCs w:val="24"/>
          <w:highlight w:val="none"/>
          <w:shd w:val="clear" w:color="auto" w:fill="FFFFFF"/>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（3）预审通过后，采购人以电子邮件方式等方式通知供应商进入下一阶段流程。</w:t>
      </w:r>
    </w:p>
    <w:p>
      <w:pPr>
        <w:pStyle w:val="13"/>
        <w:widowControl/>
        <w:numPr>
          <w:numId w:val="0"/>
        </w:numPr>
        <w:shd w:val="clear" w:color="auto" w:fill="FFFFFF"/>
        <w:spacing w:beforeAutospacing="0" w:afterAutospacing="0" w:line="360" w:lineRule="auto"/>
        <w:ind w:leftChars="0"/>
        <w:jc w:val="both"/>
        <w:textAlignment w:val="baseline"/>
        <w:rPr>
          <w:rStyle w:val="18"/>
          <w:rFonts w:hint="eastAsia" w:ascii="仿宋" w:hAnsi="仿宋" w:eastAsia="仿宋" w:cs="仿宋"/>
          <w:bCs/>
          <w:color w:val="auto"/>
          <w:sz w:val="24"/>
          <w:szCs w:val="24"/>
          <w:highlight w:val="none"/>
          <w:shd w:val="clear" w:color="auto" w:fill="FFFFFF"/>
        </w:rPr>
      </w:pPr>
      <w:r>
        <w:rPr>
          <w:rStyle w:val="18"/>
          <w:rFonts w:hint="eastAsia" w:ascii="仿宋" w:hAnsi="仿宋" w:eastAsia="仿宋" w:cs="仿宋"/>
          <w:bCs/>
          <w:color w:val="auto"/>
          <w:sz w:val="24"/>
          <w:szCs w:val="24"/>
          <w:highlight w:val="none"/>
          <w:shd w:val="clear" w:color="auto" w:fill="FFFFFF"/>
          <w:lang w:val="en-US" w:eastAsia="zh-CN"/>
        </w:rPr>
        <w:t>六、其他补充事宜</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6.1如现场提供资料与电子资料存在不一致，以纸质盖章资料为准。</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6.2本项目不接受联合体响应。</w:t>
      </w:r>
    </w:p>
    <w:p>
      <w:pPr>
        <w:pStyle w:val="1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textAlignment w:val="baseline"/>
        <w:rPr>
          <w:rStyle w:val="18"/>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6.3</w:t>
      </w:r>
      <w:r>
        <w:rPr>
          <w:rFonts w:hint="eastAsia" w:ascii="仿宋" w:hAnsi="仿宋" w:eastAsia="仿宋" w:cs="仿宋"/>
          <w:b w:val="0"/>
          <w:bCs w:val="0"/>
          <w:i w:val="0"/>
          <w:iCs w:val="0"/>
          <w:caps w:val="0"/>
          <w:color w:val="auto"/>
          <w:spacing w:val="0"/>
          <w:sz w:val="24"/>
          <w:szCs w:val="24"/>
          <w:highlight w:val="none"/>
          <w:shd w:val="clear" w:fill="FFFFFF"/>
          <w:vertAlign w:val="baseline"/>
          <w:lang w:eastAsia="zh-CN"/>
        </w:rPr>
        <w:t>递交报价文件</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截止前，</w:t>
      </w:r>
      <w:r>
        <w:rPr>
          <w:rFonts w:hint="eastAsia" w:ascii="仿宋" w:hAnsi="仿宋" w:eastAsia="仿宋" w:cs="仿宋"/>
          <w:b w:val="0"/>
          <w:bCs w:val="0"/>
          <w:i w:val="0"/>
          <w:iCs w:val="0"/>
          <w:caps w:val="0"/>
          <w:color w:val="auto"/>
          <w:spacing w:val="0"/>
          <w:sz w:val="24"/>
          <w:szCs w:val="24"/>
          <w:highlight w:val="none"/>
          <w:shd w:val="clear" w:fill="FFFFFF"/>
          <w:vertAlign w:val="baseline"/>
        </w:rPr>
        <w:t>需提供</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完整的报价文件供采购人</w:t>
      </w:r>
      <w:r>
        <w:rPr>
          <w:rFonts w:hint="eastAsia" w:ascii="仿宋" w:hAnsi="仿宋" w:eastAsia="仿宋" w:cs="仿宋"/>
          <w:b w:val="0"/>
          <w:bCs w:val="0"/>
          <w:i w:val="0"/>
          <w:iCs w:val="0"/>
          <w:caps w:val="0"/>
          <w:color w:val="auto"/>
          <w:spacing w:val="0"/>
          <w:sz w:val="24"/>
          <w:szCs w:val="24"/>
          <w:highlight w:val="none"/>
          <w:shd w:val="clear" w:fill="FFFFFF"/>
          <w:vertAlign w:val="baseline"/>
          <w:lang w:eastAsia="zh-CN"/>
        </w:rPr>
        <w:t>预审</w:t>
      </w:r>
      <w:r>
        <w:rPr>
          <w:rFonts w:hint="eastAsia" w:ascii="仿宋" w:hAnsi="仿宋" w:eastAsia="仿宋" w:cs="仿宋"/>
          <w:b w:val="0"/>
          <w:bCs w:val="0"/>
          <w:i w:val="0"/>
          <w:iCs w:val="0"/>
          <w:caps w:val="0"/>
          <w:color w:val="auto"/>
          <w:spacing w:val="0"/>
          <w:sz w:val="24"/>
          <w:szCs w:val="24"/>
          <w:highlight w:val="none"/>
          <w:shd w:val="clear" w:fill="FFFFFF"/>
          <w:vertAlign w:val="baseline"/>
        </w:rPr>
        <w:t>，资料不全</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或不通过</w:t>
      </w:r>
      <w:r>
        <w:rPr>
          <w:rFonts w:hint="eastAsia" w:ascii="仿宋" w:hAnsi="仿宋" w:eastAsia="仿宋" w:cs="仿宋"/>
          <w:b w:val="0"/>
          <w:bCs w:val="0"/>
          <w:i w:val="0"/>
          <w:iCs w:val="0"/>
          <w:caps w:val="0"/>
          <w:color w:val="auto"/>
          <w:spacing w:val="0"/>
          <w:sz w:val="24"/>
          <w:szCs w:val="24"/>
          <w:highlight w:val="none"/>
          <w:shd w:val="clear" w:fill="FFFFFF"/>
          <w:vertAlign w:val="baseline"/>
        </w:rPr>
        <w:t>者，</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报名无效</w:t>
      </w:r>
      <w:r>
        <w:rPr>
          <w:rFonts w:hint="eastAsia" w:ascii="仿宋" w:hAnsi="仿宋" w:eastAsia="仿宋" w:cs="仿宋"/>
          <w:b w:val="0"/>
          <w:bCs w:val="0"/>
          <w:i w:val="0"/>
          <w:iCs w:val="0"/>
          <w:caps w:val="0"/>
          <w:color w:val="auto"/>
          <w:spacing w:val="0"/>
          <w:sz w:val="24"/>
          <w:szCs w:val="24"/>
          <w:highlight w:val="none"/>
          <w:shd w:val="clear" w:fill="FFFFFF"/>
          <w:vertAlign w:val="baseline"/>
        </w:rPr>
        <w:t>。</w:t>
      </w:r>
    </w:p>
    <w:p>
      <w:pPr>
        <w:pStyle w:val="13"/>
        <w:widowControl/>
        <w:numPr>
          <w:numId w:val="0"/>
        </w:numPr>
        <w:shd w:val="clear" w:color="auto" w:fill="FFFFFF"/>
        <w:spacing w:beforeAutospacing="0" w:afterAutospacing="0" w:line="360" w:lineRule="auto"/>
        <w:ind w:left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七、监督部门联系方式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联系人：曾老师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联系电话：0760-88662120-1621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rPr>
        <w:t>地 址：</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中山市小榄镇菊城大道中65号内科大楼九楼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中山市小榄人民医院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2021年11月29日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3"/>
        <w:bidi w:val="0"/>
        <w:jc w:val="center"/>
        <w:rPr>
          <w:rFonts w:hint="eastAsia"/>
          <w:color w:val="auto"/>
          <w:highlight w:val="none"/>
          <w:lang w:eastAsia="zh-CN"/>
        </w:rPr>
      </w:pPr>
      <w:bookmarkStart w:id="3" w:name="_Toc26272341"/>
      <w:bookmarkStart w:id="4" w:name="_Toc14672"/>
      <w:r>
        <w:rPr>
          <w:rFonts w:hint="eastAsia"/>
          <w:color w:val="auto"/>
          <w:highlight w:val="none"/>
        </w:rPr>
        <w:t>第二部分　</w:t>
      </w:r>
      <w:bookmarkEnd w:id="3"/>
      <w:r>
        <w:rPr>
          <w:rFonts w:hint="eastAsia"/>
          <w:color w:val="auto"/>
          <w:highlight w:val="none"/>
          <w:lang w:eastAsia="zh-CN"/>
        </w:rPr>
        <w:t>采购需求书</w:t>
      </w:r>
      <w:bookmarkEnd w:id="4"/>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p>
    <w:p>
      <w:pPr>
        <w:pStyle w:val="6"/>
        <w:ind w:left="0" w:leftChars="0" w:firstLine="0" w:firstLineChars="0"/>
        <w:rPr>
          <w:rFonts w:hint="eastAsia"/>
          <w:color w:val="auto"/>
          <w:lang w:eastAsia="zh-CN"/>
        </w:rPr>
      </w:pPr>
    </w:p>
    <w:p>
      <w:pPr>
        <w:rPr>
          <w:rFonts w:hint="eastAsia"/>
          <w:color w:val="auto"/>
        </w:rPr>
      </w:pPr>
    </w:p>
    <w:p>
      <w:pPr>
        <w:pStyle w:val="5"/>
        <w:rPr>
          <w:rFonts w:hint="eastAsia"/>
          <w:color w:val="auto"/>
        </w:rPr>
      </w:pPr>
    </w:p>
    <w:p>
      <w:pPr>
        <w:pStyle w:val="6"/>
        <w:rPr>
          <w:rFonts w:hint="eastAsia"/>
          <w:color w:val="auto"/>
        </w:rPr>
      </w:pPr>
    </w:p>
    <w:p>
      <w:pPr>
        <w:rPr>
          <w:rFonts w:hint="eastAsia"/>
          <w:color w:val="auto"/>
        </w:rPr>
      </w:pPr>
    </w:p>
    <w:p>
      <w:pPr>
        <w:pStyle w:val="5"/>
        <w:rPr>
          <w:rFonts w:hint="eastAsia"/>
          <w:color w:val="auto"/>
        </w:rPr>
      </w:pPr>
    </w:p>
    <w:p>
      <w:pPr>
        <w:pStyle w:val="6"/>
        <w:rPr>
          <w:rFonts w:hint="eastAsia"/>
          <w:color w:val="auto"/>
        </w:rPr>
      </w:pPr>
    </w:p>
    <w:p>
      <w:pPr>
        <w:rPr>
          <w:rFonts w:hint="eastAsia"/>
          <w:color w:val="auto"/>
        </w:rPr>
      </w:pPr>
    </w:p>
    <w:p>
      <w:pPr>
        <w:pStyle w:val="5"/>
        <w:rPr>
          <w:rFonts w:hint="eastAsia"/>
          <w:color w:val="auto"/>
        </w:rPr>
      </w:pPr>
    </w:p>
    <w:p>
      <w:pPr>
        <w:pStyle w:val="6"/>
        <w:rPr>
          <w:rFonts w:hint="eastAsia"/>
          <w:color w:val="auto"/>
        </w:rPr>
      </w:pPr>
    </w:p>
    <w:p>
      <w:pPr>
        <w:rPr>
          <w:rFonts w:hint="eastAsia"/>
          <w:color w:val="auto"/>
        </w:rPr>
      </w:pPr>
    </w:p>
    <w:p>
      <w:pPr>
        <w:pStyle w:val="5"/>
        <w:rPr>
          <w:rFonts w:hint="eastAsia"/>
          <w:color w:val="auto"/>
        </w:rPr>
      </w:pPr>
    </w:p>
    <w:p>
      <w:pPr>
        <w:pStyle w:val="6"/>
        <w:rPr>
          <w:rFonts w:hint="eastAsia"/>
          <w:color w:val="auto"/>
        </w:rPr>
      </w:pPr>
    </w:p>
    <w:p>
      <w:pPr>
        <w:rPr>
          <w:rFonts w:hint="eastAsia"/>
          <w:color w:val="auto"/>
        </w:rPr>
      </w:pPr>
    </w:p>
    <w:p>
      <w:pPr>
        <w:pStyle w:val="5"/>
        <w:rPr>
          <w:rFonts w:hint="eastAsia"/>
          <w:color w:val="auto"/>
        </w:rPr>
      </w:pPr>
    </w:p>
    <w:p>
      <w:pPr>
        <w:pStyle w:val="6"/>
        <w:rPr>
          <w:rFonts w:hint="eastAsia"/>
          <w:color w:val="auto"/>
        </w:rPr>
      </w:pPr>
    </w:p>
    <w:p>
      <w:pPr>
        <w:rPr>
          <w:rFonts w:hint="eastAsia"/>
          <w:color w:val="auto"/>
        </w:rPr>
      </w:pPr>
    </w:p>
    <w:p>
      <w:pPr>
        <w:pStyle w:val="5"/>
        <w:rPr>
          <w:rFonts w:hint="eastAsia"/>
          <w:color w:val="auto"/>
        </w:rPr>
      </w:pPr>
    </w:p>
    <w:p>
      <w:pPr>
        <w:pStyle w:val="6"/>
        <w:rPr>
          <w:rFonts w:hint="eastAsia"/>
          <w:color w:val="auto"/>
        </w:rPr>
      </w:pPr>
    </w:p>
    <w:p>
      <w:pPr>
        <w:pStyle w:val="6"/>
        <w:ind w:left="0" w:leftChars="0" w:firstLine="0" w:firstLineChars="0"/>
        <w:rPr>
          <w:rFonts w:hint="eastAsia"/>
          <w:color w:val="auto"/>
        </w:rPr>
      </w:pPr>
    </w:p>
    <w:p>
      <w:pPr>
        <w:pStyle w:val="5"/>
        <w:rPr>
          <w:rFonts w:hint="eastAsia"/>
          <w:color w:val="auto"/>
        </w:rPr>
      </w:pPr>
    </w:p>
    <w:p>
      <w:pPr>
        <w:spacing w:line="360" w:lineRule="auto"/>
        <w:jc w:val="center"/>
        <w:rPr>
          <w:rFonts w:hint="eastAsia" w:ascii="仿宋" w:hAnsi="仿宋" w:eastAsia="仿宋" w:cs="仿宋"/>
          <w:b/>
          <w:color w:val="auto"/>
          <w:kern w:val="28"/>
          <w:sz w:val="32"/>
          <w:szCs w:val="32"/>
        </w:rPr>
      </w:pPr>
      <w:r>
        <w:rPr>
          <w:rFonts w:hint="eastAsia" w:ascii="仿宋" w:hAnsi="仿宋" w:eastAsia="仿宋" w:cs="仿宋"/>
          <w:b/>
          <w:color w:val="auto"/>
          <w:kern w:val="28"/>
          <w:sz w:val="32"/>
          <w:szCs w:val="32"/>
        </w:rPr>
        <w:t>采购需求书</w:t>
      </w:r>
    </w:p>
    <w:p>
      <w:pPr>
        <w:numPr>
          <w:ilvl w:val="0"/>
          <w:numId w:val="2"/>
        </w:num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总则</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报价应包括标的设备（原装、全新合格的设备）、相关附件、配套设施、税费、运费、保险费、仓储费、安装调试、培训、质保等的全部费用，在项目实施过程中出现报价内容的任何遗漏，均由</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负责相关费用，采购人将不再支付任何费用。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2.凡有“★”标识的内容条款为关键条款，</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必须对此作出回答并完全满足这些要求不可以出现任何负偏离，对这些关键条款的任何负偏离将视为无效投标。加注“▲”的内容为重点评标项目，</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必须对该标识项目按照要求进行真实应答描述。</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3.本项目不接受联合体</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不得以任何方式转包本项目。</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4.单位负责人为同一人或者存在直接控股、关联关系的不同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，不得参加同一合同项下的招标活动。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应该符合《医疗器械经营质量管理规范》和《医疗器械监督管理条例》规定，并结合本项目特性提供有效的医疗器械产品注册/备案证明材料和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的经营许可/备案证明</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材料。</w:t>
      </w:r>
    </w:p>
    <w:p>
      <w:pPr>
        <w:tabs>
          <w:tab w:val="left" w:pos="1800"/>
        </w:tabs>
        <w:spacing w:line="360" w:lineRule="auto"/>
        <w:rPr>
          <w:rFonts w:hint="eastAsia" w:ascii="仿宋" w:hAnsi="仿宋" w:eastAsia="仿宋" w:cs="仿宋"/>
          <w:b/>
          <w:color w:val="auto"/>
          <w:sz w:val="24"/>
          <w:u w:val="none"/>
          <w:lang w:val="en-US" w:eastAsia="zh-CN"/>
        </w:rPr>
      </w:pPr>
      <w:r>
        <w:rPr>
          <w:rFonts w:hint="eastAsia" w:ascii="仿宋" w:hAnsi="仿宋" w:eastAsia="仿宋" w:cs="仿宋"/>
          <w:b/>
          <w:color w:val="auto"/>
          <w:sz w:val="24"/>
          <w:u w:val="none"/>
          <w:lang w:val="en-US" w:eastAsia="zh-CN"/>
        </w:rPr>
        <w:t>二、采购清单：</w:t>
      </w:r>
    </w:p>
    <w:tbl>
      <w:tblPr>
        <w:tblStyle w:val="15"/>
        <w:tblpPr w:leftFromText="180" w:rightFromText="180" w:vertAnchor="text" w:horzAnchor="page" w:tblpX="1528" w:tblpY="217"/>
        <w:tblOverlap w:val="never"/>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38"/>
        <w:gridCol w:w="2771"/>
        <w:gridCol w:w="2294"/>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39" w:hRule="atLeast"/>
        </w:trPr>
        <w:tc>
          <w:tcPr>
            <w:tcW w:w="1238"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771"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2294"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2294"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p>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12" w:hRule="atLeast"/>
        </w:trPr>
        <w:tc>
          <w:tcPr>
            <w:tcW w:w="1238"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771"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除颤监护仪</w:t>
            </w:r>
          </w:p>
        </w:tc>
        <w:tc>
          <w:tcPr>
            <w:tcW w:w="2294"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3台</w:t>
            </w:r>
          </w:p>
        </w:tc>
        <w:tc>
          <w:tcPr>
            <w:tcW w:w="2294" w:type="dxa"/>
            <w:shd w:val="clear" w:color="auto" w:fill="FFFFFF"/>
            <w:noWrap/>
            <w:tcMar>
              <w:left w:w="105" w:type="dxa"/>
              <w:right w:w="105" w:type="dxa"/>
            </w:tcMar>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178500.00</w:t>
            </w:r>
          </w:p>
        </w:tc>
      </w:tr>
    </w:tbl>
    <w:p>
      <w:pPr>
        <w:pStyle w:val="2"/>
        <w:rPr>
          <w:rFonts w:hint="eastAsia" w:ascii="仿宋" w:hAnsi="仿宋" w:eastAsia="仿宋" w:cs="仿宋"/>
          <w:color w:val="auto"/>
          <w:lang w:val="en-US" w:eastAsia="zh-CN"/>
        </w:rPr>
      </w:pPr>
    </w:p>
    <w:p>
      <w:pPr>
        <w:numPr>
          <w:ilvl w:val="0"/>
          <w:numId w:val="0"/>
        </w:numPr>
        <w:spacing w:line="360" w:lineRule="auto"/>
        <w:ind w:leftChars="0"/>
        <w:rPr>
          <w:rFonts w:hint="eastAsia" w:ascii="仿宋" w:hAnsi="仿宋" w:eastAsia="仿宋" w:cs="仿宋"/>
          <w:b/>
          <w:color w:val="auto"/>
          <w:sz w:val="24"/>
        </w:rPr>
      </w:pPr>
      <w:r>
        <w:rPr>
          <w:rFonts w:hint="eastAsia" w:ascii="仿宋" w:hAnsi="仿宋" w:eastAsia="仿宋" w:cs="仿宋"/>
          <w:b/>
          <w:color w:val="auto"/>
          <w:sz w:val="24"/>
          <w:lang w:val="en-US" w:eastAsia="zh-CN"/>
        </w:rPr>
        <w:t>三、</w:t>
      </w:r>
      <w:r>
        <w:rPr>
          <w:rFonts w:hint="eastAsia" w:ascii="仿宋" w:hAnsi="仿宋" w:eastAsia="仿宋" w:cs="仿宋"/>
          <w:b/>
          <w:color w:val="auto"/>
          <w:sz w:val="24"/>
        </w:rPr>
        <w:t>技术需求</w:t>
      </w:r>
    </w:p>
    <w:p>
      <w:pPr>
        <w:numPr>
          <w:ilvl w:val="0"/>
          <w:numId w:val="3"/>
        </w:numPr>
        <w:spacing w:line="360" w:lineRule="auto"/>
        <w:ind w:left="709" w:hanging="709"/>
        <w:rPr>
          <w:rFonts w:hint="eastAsia" w:ascii="仿宋" w:hAnsi="仿宋" w:eastAsia="仿宋" w:cs="仿宋"/>
          <w:b/>
          <w:color w:val="auto"/>
          <w:sz w:val="24"/>
        </w:rPr>
      </w:pPr>
      <w:r>
        <w:rPr>
          <w:rFonts w:hint="eastAsia" w:ascii="仿宋" w:hAnsi="仿宋" w:eastAsia="仿宋" w:cs="仿宋"/>
          <w:b/>
          <w:color w:val="auto"/>
          <w:sz w:val="24"/>
        </w:rPr>
        <w:t>设备用途：</w:t>
      </w:r>
    </w:p>
    <w:p>
      <w:pPr>
        <w:pStyle w:val="5"/>
        <w:ind w:firstLine="480" w:firstLineChars="200"/>
        <w:rPr>
          <w:rFonts w:hint="eastAsia" w:ascii="仿宋" w:hAnsi="仿宋" w:eastAsia="仿宋" w:cs="仿宋"/>
          <w:color w:val="auto"/>
          <w:sz w:val="24"/>
        </w:rPr>
      </w:pPr>
      <w:r>
        <w:rPr>
          <w:rFonts w:hint="eastAsia" w:ascii="仿宋" w:hAnsi="仿宋" w:eastAsia="仿宋" w:cs="仿宋"/>
          <w:color w:val="auto"/>
          <w:sz w:val="24"/>
        </w:rPr>
        <w:t>病房、抢救室、心肺康复室、急危重病人转运至手术室以及术中术后发生恶性心律失常时电复律或者电除颤挽救生命。</w:t>
      </w:r>
    </w:p>
    <w:p>
      <w:pPr>
        <w:spacing w:line="360" w:lineRule="auto"/>
        <w:rPr>
          <w:rFonts w:hint="eastAsia" w:ascii="仿宋" w:hAnsi="仿宋" w:eastAsia="仿宋" w:cs="仿宋"/>
          <w:b/>
          <w:color w:val="auto"/>
          <w:sz w:val="24"/>
        </w:rPr>
      </w:pPr>
    </w:p>
    <w:p>
      <w:pPr>
        <w:numPr>
          <w:ilvl w:val="0"/>
          <w:numId w:val="3"/>
        </w:numPr>
        <w:spacing w:line="360" w:lineRule="auto"/>
        <w:ind w:left="709" w:hanging="709"/>
        <w:rPr>
          <w:rFonts w:hint="eastAsia" w:ascii="仿宋" w:hAnsi="仿宋" w:eastAsia="仿宋" w:cs="仿宋"/>
          <w:b/>
          <w:color w:val="auto"/>
          <w:sz w:val="24"/>
        </w:rPr>
      </w:pPr>
      <w:r>
        <w:rPr>
          <w:rFonts w:hint="eastAsia" w:ascii="仿宋" w:hAnsi="仿宋" w:eastAsia="仿宋" w:cs="仿宋"/>
          <w:b/>
          <w:color w:val="auto"/>
          <w:sz w:val="24"/>
        </w:rPr>
        <w:t>详细参数要求：</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整机原装进口，显示器: 不小于6.5英寸,彩色LCD显示，高背光显示，屏幕亮度≥1000cd/m2 ,屏幕有倾斜，便于观察,可显示ECG，SpO2, EtCO2等四通道波形, 支持数字放大，波形冻结。</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▲1秒之内完成开机，最高能量选择，智能自检等三个项目,以最快速度实施除颤。</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▲除颤电流波形：采用ActiBiphasic双向波技术，采用专业的“T-型回路”技术，主动控制第二相波形，以保持恒定的脉冲宽度，保证除颤效率，最大程度降低患者的心肌损伤程度。</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手动除颤电极板：标配成人、儿童各一付，可升级做新生儿除颤。</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标配工作模式：手动除颤，AED自动除颤模式，同步复律，生命体征监护，内部放电，机器智能自检。</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除颤最大能量: ≤270J, ≥12档能量选择。能量及工作模式选择: 一体旋扭式,快速，直观。</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▲快速充电：4秒内充电到200J（包括使用交流电时），充电到最大能量≤5秒，充电过程中可在屏幕上显示当前能量值。</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▲ECG波形恢复时间：除颤放电后，心电波形在3秒内恢复，有利于快速判断当次除颤效果和患者情况，≥35秒不按放电健，除颤仪会自动内部放电。</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心电导联：标配三导联，可选配5芯或6芯心电导联线。</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心电共模抑制比：≥100dB。</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电容：高性能集合式电容，确保性能稳定，电容由数千个独立的小电容组成。当部分高压电容击穿时，余下的电容仍然可提供足够的电量进行除颤。</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▲可升级主流法呼吸末二氧化碳，既能用于插管病人，又能用于非插管病人，传感器预热时间不超过6秒，传感器重量不超过10g, IPX7防水等级，耐摔，可用于快速确认插管位置和CPR效果，以及在CPR时作为预测患者恢复自主循环（ROSC）的重要指标。呼吸频率计数范围：0到150次/分钟。</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可升级血氧饱和度：血氧饱和度探头采用平行夹设计，可水洗浸泡消毒。</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自检指示：带有自检指示灯，关机状态下可每天自动自检，并更新状态灯颜色（绿色代表一切正常，红色代表有异常），清晰指示仪器状态，并自动保存自检结果。</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 xml:space="preserve">电池：采用安全性高的环保电池，充满电时间≤3小时，在满电情况下，支持最大能量次数100次。或至少3小时连续监护。   </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数据存储：可存储≥7天心电图连续波形，可存储周围环境音，可连续存储至少20小时的环境录音信息，或者连续100小时ECG波形；机器可记录不少于60个报警报告，不少于130事件列表报告，≥44个除颤报告（除颤前8秒和除颤后12秒的心电波形），可通过SD卡和蓝牙功能转移除颤器内部数据。</w:t>
      </w:r>
    </w:p>
    <w:p>
      <w:pPr>
        <w:numPr>
          <w:ilvl w:val="0"/>
          <w:numId w:val="4"/>
        </w:numPr>
        <w:spacing w:line="400" w:lineRule="exact"/>
        <w:rPr>
          <w:rFonts w:hint="eastAsia" w:ascii="仿宋" w:hAnsi="仿宋" w:eastAsia="仿宋" w:cs="仿宋"/>
          <w:color w:val="auto"/>
          <w:sz w:val="24"/>
        </w:rPr>
      </w:pPr>
      <w:r>
        <w:rPr>
          <w:rFonts w:hint="eastAsia" w:ascii="仿宋" w:hAnsi="仿宋" w:eastAsia="仿宋" w:cs="仿宋"/>
          <w:color w:val="auto"/>
          <w:sz w:val="24"/>
        </w:rPr>
        <w:t>通过关于救护车应用的EN1789：2007，Am1：2010标准。安全标准：IEC60601-1（1998），IEC60601-1 Amendment 1（1991），IEC60601-1-2-4（1983）符合电冲击保护类型，交流电：CLASS I EQUIMENT，电池：INTERNALLY POWERED EQUIMENT。</w:t>
      </w:r>
    </w:p>
    <w:p>
      <w:pPr>
        <w:numPr>
          <w:ilvl w:val="0"/>
          <w:numId w:val="4"/>
        </w:numPr>
        <w:spacing w:line="400" w:lineRule="exact"/>
        <w:rPr>
          <w:rFonts w:hint="eastAsia" w:ascii="仿宋" w:hAnsi="仿宋" w:eastAsia="仿宋" w:cs="仿宋"/>
          <w:b/>
          <w:color w:val="auto"/>
          <w:sz w:val="24"/>
        </w:rPr>
      </w:pPr>
      <w:r>
        <w:rPr>
          <w:rFonts w:hint="eastAsia" w:ascii="仿宋" w:hAnsi="仿宋" w:eastAsia="仿宋" w:cs="仿宋"/>
          <w:color w:val="auto"/>
          <w:sz w:val="24"/>
        </w:rPr>
        <w:t>防水防尘等级：IP44</w:t>
      </w:r>
    </w:p>
    <w:p>
      <w:pPr>
        <w:numPr>
          <w:ilvl w:val="0"/>
          <w:numId w:val="3"/>
        </w:numPr>
        <w:spacing w:line="360" w:lineRule="auto"/>
        <w:ind w:left="709" w:hanging="709"/>
        <w:rPr>
          <w:rFonts w:hint="eastAsia" w:ascii="仿宋" w:hAnsi="仿宋" w:eastAsia="仿宋" w:cs="仿宋"/>
          <w:b/>
          <w:color w:val="auto"/>
          <w:sz w:val="24"/>
        </w:rPr>
      </w:pPr>
      <w:r>
        <w:rPr>
          <w:rFonts w:hint="eastAsia" w:ascii="仿宋" w:hAnsi="仿宋" w:eastAsia="仿宋" w:cs="仿宋"/>
          <w:b/>
          <w:color w:val="auto"/>
          <w:sz w:val="24"/>
        </w:rPr>
        <w:t>配置清单要求（每台）</w:t>
      </w:r>
    </w:p>
    <w:tbl>
      <w:tblPr>
        <w:tblStyle w:val="15"/>
        <w:tblW w:w="92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5369"/>
        <w:gridCol w:w="1088"/>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trPr>
        <w:tc>
          <w:tcPr>
            <w:tcW w:w="1152" w:type="dxa"/>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序号</w:t>
            </w:r>
          </w:p>
        </w:tc>
        <w:tc>
          <w:tcPr>
            <w:tcW w:w="5369" w:type="dxa"/>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内容</w:t>
            </w:r>
          </w:p>
        </w:tc>
        <w:tc>
          <w:tcPr>
            <w:tcW w:w="1088" w:type="dxa"/>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数量</w:t>
            </w:r>
          </w:p>
        </w:tc>
        <w:tc>
          <w:tcPr>
            <w:tcW w:w="1619" w:type="dxa"/>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1152" w:type="dxa"/>
            <w:noWrap w:val="0"/>
            <w:vAlign w:val="center"/>
          </w:tcPr>
          <w:p>
            <w:pPr>
              <w:widowControl/>
              <w:numPr>
                <w:ilvl w:val="0"/>
                <w:numId w:val="5"/>
              </w:numPr>
              <w:jc w:val="center"/>
              <w:rPr>
                <w:rFonts w:hint="eastAsia" w:ascii="仿宋" w:hAnsi="仿宋" w:eastAsia="仿宋" w:cs="仿宋"/>
                <w:color w:val="auto"/>
                <w:kern w:val="0"/>
                <w:sz w:val="21"/>
                <w:szCs w:val="21"/>
              </w:rPr>
            </w:pPr>
          </w:p>
        </w:tc>
        <w:tc>
          <w:tcPr>
            <w:tcW w:w="5369"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除颤监护仪</w:t>
            </w:r>
          </w:p>
        </w:tc>
        <w:tc>
          <w:tcPr>
            <w:tcW w:w="1088"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1619" w:type="dxa"/>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152" w:type="dxa"/>
            <w:noWrap w:val="0"/>
            <w:vAlign w:val="center"/>
          </w:tcPr>
          <w:p>
            <w:pPr>
              <w:widowControl/>
              <w:numPr>
                <w:ilvl w:val="0"/>
                <w:numId w:val="5"/>
              </w:numPr>
              <w:jc w:val="center"/>
              <w:rPr>
                <w:rFonts w:hint="eastAsia" w:ascii="仿宋" w:hAnsi="仿宋" w:eastAsia="仿宋" w:cs="仿宋"/>
                <w:color w:val="auto"/>
                <w:kern w:val="0"/>
                <w:sz w:val="21"/>
                <w:szCs w:val="21"/>
              </w:rPr>
            </w:pPr>
          </w:p>
        </w:tc>
        <w:tc>
          <w:tcPr>
            <w:tcW w:w="5369"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ECG中继线</w:t>
            </w:r>
          </w:p>
        </w:tc>
        <w:tc>
          <w:tcPr>
            <w:tcW w:w="1088"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1619" w:type="dxa"/>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1152" w:type="dxa"/>
            <w:noWrap w:val="0"/>
            <w:vAlign w:val="center"/>
          </w:tcPr>
          <w:p>
            <w:pPr>
              <w:widowControl/>
              <w:numPr>
                <w:ilvl w:val="0"/>
                <w:numId w:val="5"/>
              </w:numPr>
              <w:jc w:val="center"/>
              <w:rPr>
                <w:rFonts w:hint="eastAsia" w:ascii="仿宋" w:hAnsi="仿宋" w:eastAsia="仿宋" w:cs="仿宋"/>
                <w:color w:val="auto"/>
                <w:kern w:val="0"/>
                <w:sz w:val="21"/>
                <w:szCs w:val="21"/>
              </w:rPr>
            </w:pPr>
          </w:p>
        </w:tc>
        <w:tc>
          <w:tcPr>
            <w:tcW w:w="5369"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ECG导联线</w:t>
            </w:r>
          </w:p>
        </w:tc>
        <w:tc>
          <w:tcPr>
            <w:tcW w:w="1088"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1619" w:type="dxa"/>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1152" w:type="dxa"/>
            <w:noWrap w:val="0"/>
            <w:vAlign w:val="center"/>
          </w:tcPr>
          <w:p>
            <w:pPr>
              <w:widowControl/>
              <w:numPr>
                <w:ilvl w:val="0"/>
                <w:numId w:val="5"/>
              </w:numPr>
              <w:jc w:val="center"/>
              <w:rPr>
                <w:rFonts w:hint="eastAsia" w:ascii="仿宋" w:hAnsi="仿宋" w:eastAsia="仿宋" w:cs="仿宋"/>
                <w:color w:val="auto"/>
                <w:kern w:val="0"/>
                <w:sz w:val="21"/>
                <w:szCs w:val="21"/>
              </w:rPr>
            </w:pPr>
          </w:p>
        </w:tc>
        <w:tc>
          <w:tcPr>
            <w:tcW w:w="5369"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可充电电池</w:t>
            </w:r>
          </w:p>
        </w:tc>
        <w:tc>
          <w:tcPr>
            <w:tcW w:w="1088"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1619" w:type="dxa"/>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152" w:type="dxa"/>
            <w:noWrap w:val="0"/>
            <w:vAlign w:val="center"/>
          </w:tcPr>
          <w:p>
            <w:pPr>
              <w:widowControl/>
              <w:numPr>
                <w:ilvl w:val="0"/>
                <w:numId w:val="5"/>
              </w:numPr>
              <w:jc w:val="center"/>
              <w:rPr>
                <w:rFonts w:hint="eastAsia" w:ascii="仿宋" w:hAnsi="仿宋" w:eastAsia="仿宋" w:cs="仿宋"/>
                <w:color w:val="auto"/>
                <w:kern w:val="0"/>
                <w:sz w:val="21"/>
                <w:szCs w:val="21"/>
              </w:rPr>
            </w:pPr>
          </w:p>
        </w:tc>
        <w:tc>
          <w:tcPr>
            <w:tcW w:w="5369"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记录纸</w:t>
            </w:r>
          </w:p>
        </w:tc>
        <w:tc>
          <w:tcPr>
            <w:tcW w:w="1088"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1619" w:type="dxa"/>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152" w:type="dxa"/>
            <w:noWrap w:val="0"/>
            <w:vAlign w:val="center"/>
          </w:tcPr>
          <w:p>
            <w:pPr>
              <w:widowControl/>
              <w:numPr>
                <w:ilvl w:val="0"/>
                <w:numId w:val="5"/>
              </w:numPr>
              <w:jc w:val="center"/>
              <w:rPr>
                <w:rFonts w:hint="eastAsia" w:ascii="仿宋" w:hAnsi="仿宋" w:eastAsia="仿宋" w:cs="仿宋"/>
                <w:color w:val="auto"/>
                <w:kern w:val="0"/>
                <w:sz w:val="21"/>
                <w:szCs w:val="21"/>
              </w:rPr>
            </w:pPr>
          </w:p>
        </w:tc>
        <w:tc>
          <w:tcPr>
            <w:tcW w:w="5369"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一次性电极板适配线</w:t>
            </w:r>
          </w:p>
        </w:tc>
        <w:tc>
          <w:tcPr>
            <w:tcW w:w="1088"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1619" w:type="dxa"/>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152" w:type="dxa"/>
            <w:noWrap w:val="0"/>
            <w:vAlign w:val="center"/>
          </w:tcPr>
          <w:p>
            <w:pPr>
              <w:widowControl/>
              <w:numPr>
                <w:ilvl w:val="0"/>
                <w:numId w:val="5"/>
              </w:numPr>
              <w:jc w:val="center"/>
              <w:rPr>
                <w:rFonts w:hint="eastAsia" w:ascii="仿宋" w:hAnsi="仿宋" w:eastAsia="仿宋" w:cs="仿宋"/>
                <w:color w:val="auto"/>
                <w:kern w:val="0"/>
                <w:sz w:val="21"/>
                <w:szCs w:val="21"/>
              </w:rPr>
            </w:pPr>
          </w:p>
        </w:tc>
        <w:tc>
          <w:tcPr>
            <w:tcW w:w="5369"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电源线</w:t>
            </w:r>
          </w:p>
        </w:tc>
        <w:tc>
          <w:tcPr>
            <w:tcW w:w="1088"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1619" w:type="dxa"/>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1152" w:type="dxa"/>
            <w:noWrap w:val="0"/>
            <w:vAlign w:val="center"/>
          </w:tcPr>
          <w:p>
            <w:pPr>
              <w:widowControl/>
              <w:numPr>
                <w:ilvl w:val="0"/>
                <w:numId w:val="5"/>
              </w:numPr>
              <w:jc w:val="center"/>
              <w:rPr>
                <w:rFonts w:hint="eastAsia" w:ascii="仿宋" w:hAnsi="仿宋" w:eastAsia="仿宋" w:cs="仿宋"/>
                <w:color w:val="auto"/>
                <w:kern w:val="0"/>
                <w:sz w:val="21"/>
                <w:szCs w:val="21"/>
              </w:rPr>
            </w:pPr>
          </w:p>
        </w:tc>
        <w:tc>
          <w:tcPr>
            <w:tcW w:w="5369"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说明书</w:t>
            </w:r>
          </w:p>
        </w:tc>
        <w:tc>
          <w:tcPr>
            <w:tcW w:w="1088"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1619" w:type="dxa"/>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1152" w:type="dxa"/>
            <w:noWrap w:val="0"/>
            <w:vAlign w:val="center"/>
          </w:tcPr>
          <w:p>
            <w:pPr>
              <w:widowControl/>
              <w:numPr>
                <w:ilvl w:val="0"/>
                <w:numId w:val="5"/>
              </w:numPr>
              <w:jc w:val="center"/>
              <w:rPr>
                <w:rFonts w:hint="eastAsia" w:ascii="仿宋" w:hAnsi="仿宋" w:eastAsia="仿宋" w:cs="仿宋"/>
                <w:color w:val="auto"/>
                <w:kern w:val="0"/>
                <w:sz w:val="21"/>
                <w:szCs w:val="21"/>
              </w:rPr>
            </w:pPr>
          </w:p>
        </w:tc>
        <w:tc>
          <w:tcPr>
            <w:tcW w:w="5369"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导电膏</w:t>
            </w:r>
          </w:p>
        </w:tc>
        <w:tc>
          <w:tcPr>
            <w:tcW w:w="1088"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1619" w:type="dxa"/>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1152" w:type="dxa"/>
            <w:noWrap w:val="0"/>
            <w:vAlign w:val="center"/>
          </w:tcPr>
          <w:p>
            <w:pPr>
              <w:widowControl/>
              <w:numPr>
                <w:ilvl w:val="0"/>
                <w:numId w:val="5"/>
              </w:numPr>
              <w:jc w:val="center"/>
              <w:rPr>
                <w:rFonts w:hint="eastAsia" w:ascii="仿宋" w:hAnsi="仿宋" w:eastAsia="仿宋" w:cs="仿宋"/>
                <w:color w:val="auto"/>
                <w:kern w:val="0"/>
                <w:sz w:val="21"/>
                <w:szCs w:val="21"/>
              </w:rPr>
            </w:pPr>
          </w:p>
        </w:tc>
        <w:tc>
          <w:tcPr>
            <w:tcW w:w="5369"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一次性除颤电极片</w:t>
            </w:r>
          </w:p>
        </w:tc>
        <w:tc>
          <w:tcPr>
            <w:tcW w:w="1088"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1619" w:type="dxa"/>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1152" w:type="dxa"/>
            <w:noWrap w:val="0"/>
            <w:vAlign w:val="center"/>
          </w:tcPr>
          <w:p>
            <w:pPr>
              <w:widowControl/>
              <w:numPr>
                <w:ilvl w:val="0"/>
                <w:numId w:val="5"/>
              </w:numPr>
              <w:jc w:val="center"/>
              <w:rPr>
                <w:rFonts w:hint="eastAsia" w:ascii="仿宋" w:hAnsi="仿宋" w:eastAsia="仿宋" w:cs="仿宋"/>
                <w:color w:val="auto"/>
                <w:kern w:val="0"/>
                <w:sz w:val="21"/>
                <w:szCs w:val="21"/>
              </w:rPr>
            </w:pPr>
          </w:p>
        </w:tc>
        <w:tc>
          <w:tcPr>
            <w:tcW w:w="5369"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除颤仪治疗车</w:t>
            </w:r>
          </w:p>
        </w:tc>
        <w:tc>
          <w:tcPr>
            <w:tcW w:w="1088" w:type="dxa"/>
            <w:noWrap w:val="0"/>
            <w:vAlign w:val="top"/>
          </w:tcPr>
          <w:p>
            <w:pPr>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1619" w:type="dxa"/>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台</w:t>
            </w:r>
          </w:p>
        </w:tc>
      </w:tr>
    </w:tbl>
    <w:p>
      <w:pPr>
        <w:numPr>
          <w:ilvl w:val="0"/>
          <w:numId w:val="0"/>
        </w:numPr>
        <w:spacing w:line="360" w:lineRule="auto"/>
        <w:ind w:leftChars="0"/>
        <w:rPr>
          <w:rFonts w:hint="eastAsia" w:ascii="仿宋" w:hAnsi="仿宋" w:eastAsia="仿宋" w:cs="仿宋"/>
          <w:b/>
          <w:color w:val="auto"/>
          <w:sz w:val="24"/>
        </w:rPr>
      </w:pPr>
      <w:r>
        <w:rPr>
          <w:rFonts w:hint="eastAsia" w:ascii="仿宋" w:hAnsi="仿宋" w:eastAsia="仿宋" w:cs="仿宋"/>
          <w:b/>
          <w:color w:val="auto"/>
          <w:sz w:val="24"/>
          <w:lang w:val="en-US" w:eastAsia="zh-CN"/>
        </w:rPr>
        <w:t>四、</w:t>
      </w:r>
      <w:r>
        <w:rPr>
          <w:rFonts w:hint="eastAsia" w:ascii="仿宋" w:hAnsi="仿宋" w:eastAsia="仿宋" w:cs="仿宋"/>
          <w:b/>
          <w:color w:val="auto"/>
          <w:sz w:val="24"/>
        </w:rPr>
        <w:t>商务需求</w:t>
      </w:r>
    </w:p>
    <w:p>
      <w:pPr>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一</w:t>
      </w:r>
      <w:r>
        <w:rPr>
          <w:rFonts w:hint="eastAsia" w:ascii="仿宋" w:hAnsi="仿宋" w:eastAsia="仿宋" w:cs="仿宋"/>
          <w:color w:val="auto"/>
          <w:sz w:val="24"/>
          <w:lang w:eastAsia="zh-CN"/>
        </w:rPr>
        <w:t>）</w:t>
      </w:r>
      <w:r>
        <w:rPr>
          <w:rFonts w:hint="eastAsia" w:ascii="仿宋" w:hAnsi="仿宋" w:eastAsia="仿宋" w:cs="仿宋"/>
          <w:color w:val="auto"/>
          <w:sz w:val="24"/>
        </w:rPr>
        <w:t>交货期及安装要求</w:t>
      </w:r>
    </w:p>
    <w:p>
      <w:pPr>
        <w:numPr>
          <w:ilvl w:val="0"/>
          <w:numId w:val="6"/>
        </w:numPr>
        <w:spacing w:line="440" w:lineRule="exact"/>
        <w:rPr>
          <w:rFonts w:hint="eastAsia" w:ascii="仿宋" w:hAnsi="仿宋" w:eastAsia="仿宋" w:cs="仿宋"/>
          <w:color w:val="auto"/>
          <w:sz w:val="24"/>
        </w:rPr>
      </w:pPr>
      <w:r>
        <w:rPr>
          <w:rFonts w:hint="eastAsia" w:ascii="仿宋" w:hAnsi="仿宋" w:eastAsia="仿宋" w:cs="仿宋"/>
          <w:color w:val="auto"/>
          <w:sz w:val="24"/>
        </w:rPr>
        <w:t>交货地点：中山市小榄人民医院，设备到达采购人指定科室。</w:t>
      </w:r>
    </w:p>
    <w:p>
      <w:pPr>
        <w:numPr>
          <w:ilvl w:val="0"/>
          <w:numId w:val="6"/>
        </w:numPr>
        <w:spacing w:line="440" w:lineRule="exact"/>
        <w:rPr>
          <w:rFonts w:hint="eastAsia" w:ascii="仿宋" w:hAnsi="仿宋" w:eastAsia="仿宋" w:cs="仿宋"/>
          <w:color w:val="auto"/>
          <w:sz w:val="24"/>
        </w:rPr>
      </w:pPr>
      <w:r>
        <w:rPr>
          <w:rFonts w:hint="eastAsia" w:ascii="仿宋" w:hAnsi="仿宋" w:eastAsia="仿宋" w:cs="仿宋"/>
          <w:color w:val="auto"/>
          <w:sz w:val="24"/>
        </w:rPr>
        <w:t>交货期：自中标通知书发出之日起30日内凭中标通知书签订合同，签订合同后</w:t>
      </w:r>
      <w:r>
        <w:rPr>
          <w:rFonts w:hint="eastAsia" w:ascii="仿宋" w:hAnsi="仿宋" w:eastAsia="仿宋" w:cs="仿宋"/>
          <w:color w:val="auto"/>
          <w:sz w:val="24"/>
          <w:u w:val="single"/>
        </w:rPr>
        <w:t>30</w:t>
      </w:r>
      <w:r>
        <w:rPr>
          <w:rFonts w:hint="eastAsia" w:ascii="仿宋" w:hAnsi="仿宋" w:eastAsia="仿宋" w:cs="仿宋"/>
          <w:color w:val="auto"/>
          <w:sz w:val="24"/>
        </w:rPr>
        <w:t>日内完成供货安装调试。</w:t>
      </w:r>
    </w:p>
    <w:p>
      <w:pPr>
        <w:numPr>
          <w:ilvl w:val="0"/>
          <w:numId w:val="6"/>
        </w:numPr>
        <w:spacing w:line="440" w:lineRule="exact"/>
        <w:rPr>
          <w:rFonts w:hint="eastAsia" w:ascii="仿宋" w:hAnsi="仿宋" w:eastAsia="仿宋" w:cs="仿宋"/>
          <w:color w:val="auto"/>
          <w:sz w:val="24"/>
        </w:rPr>
      </w:pPr>
      <w:r>
        <w:rPr>
          <w:rFonts w:hint="eastAsia" w:ascii="仿宋" w:hAnsi="仿宋" w:eastAsia="仿宋" w:cs="仿宋"/>
          <w:color w:val="auto"/>
          <w:sz w:val="24"/>
        </w:rPr>
        <w:t>中标人保证提供的设备必须是全新产品，没有使用过。</w:t>
      </w:r>
    </w:p>
    <w:p>
      <w:pPr>
        <w:numPr>
          <w:ilvl w:val="0"/>
          <w:numId w:val="6"/>
        </w:numPr>
        <w:spacing w:line="440" w:lineRule="exact"/>
        <w:rPr>
          <w:rFonts w:hint="eastAsia" w:ascii="仿宋" w:hAnsi="仿宋" w:eastAsia="仿宋" w:cs="仿宋"/>
          <w:color w:val="auto"/>
          <w:sz w:val="24"/>
        </w:rPr>
      </w:pPr>
      <w:r>
        <w:rPr>
          <w:rFonts w:hint="eastAsia" w:ascii="仿宋" w:hAnsi="仿宋" w:eastAsia="仿宋" w:cs="仿宋"/>
          <w:color w:val="auto"/>
          <w:sz w:val="24"/>
        </w:rPr>
        <w:t>中标人负责派技术人员到现场进行安装调试，直至验收合格，安装调试所需费用应包含在投标总报价内；同时提供培训服务，必须保证需求科室操作人员融会贯通，培训所需费用应包含在总报价内。</w:t>
      </w:r>
    </w:p>
    <w:p>
      <w:pPr>
        <w:numPr>
          <w:ilvl w:val="0"/>
          <w:numId w:val="6"/>
        </w:numPr>
        <w:spacing w:line="360" w:lineRule="auto"/>
        <w:rPr>
          <w:rFonts w:hint="eastAsia" w:ascii="仿宋" w:hAnsi="仿宋" w:eastAsia="仿宋" w:cs="仿宋"/>
          <w:color w:val="auto"/>
          <w:sz w:val="24"/>
        </w:rPr>
      </w:pPr>
      <w:r>
        <w:rPr>
          <w:rFonts w:hint="eastAsia" w:ascii="仿宋" w:hAnsi="仿宋" w:eastAsia="仿宋" w:cs="仿宋"/>
          <w:color w:val="auto"/>
          <w:sz w:val="24"/>
        </w:rPr>
        <w:t>验收方式:按《小榄镇镇属医院医疗项目采购和验收管理规定》</w:t>
      </w:r>
    </w:p>
    <w:p>
      <w:pPr>
        <w:spacing w:line="440" w:lineRule="exact"/>
        <w:rPr>
          <w:rFonts w:hint="eastAsia" w:ascii="仿宋" w:hAnsi="仿宋" w:eastAsia="仿宋" w:cs="仿宋"/>
          <w:color w:val="auto"/>
          <w:sz w:val="24"/>
        </w:rPr>
      </w:pPr>
      <w:r>
        <w:rPr>
          <w:rFonts w:hint="eastAsia" w:ascii="仿宋" w:hAnsi="仿宋" w:eastAsia="仿宋" w:cs="仿宋"/>
          <w:color w:val="auto"/>
          <w:sz w:val="24"/>
        </w:rPr>
        <w:t>★1.6投标供应商须要在投标文件做出具承诺函，该承诺函包括但不限于以下内容:</w:t>
      </w:r>
    </w:p>
    <w:p>
      <w:pPr>
        <w:spacing w:line="440" w:lineRule="exact"/>
        <w:ind w:left="315" w:leftChars="150"/>
        <w:rPr>
          <w:rFonts w:hint="eastAsia" w:ascii="仿宋" w:hAnsi="仿宋" w:eastAsia="仿宋" w:cs="仿宋"/>
          <w:color w:val="auto"/>
          <w:sz w:val="24"/>
        </w:rPr>
      </w:pPr>
      <w:r>
        <w:rPr>
          <w:rFonts w:hint="eastAsia" w:ascii="仿宋" w:hAnsi="仿宋" w:eastAsia="仿宋" w:cs="仿宋"/>
          <w:color w:val="auto"/>
          <w:sz w:val="24"/>
        </w:rPr>
        <w:t>承诺中标后须在中标公告发布之日起五个工作日内提供设备制造厂商开具并盖章的合法有效的授权函原件（盖鲜章）、售后服务承诺函原件（盖鲜章）。</w:t>
      </w:r>
    </w:p>
    <w:p>
      <w:pPr>
        <w:spacing w:line="360" w:lineRule="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二</w:t>
      </w:r>
      <w:r>
        <w:rPr>
          <w:rFonts w:hint="eastAsia" w:ascii="仿宋" w:hAnsi="仿宋" w:eastAsia="仿宋" w:cs="仿宋"/>
          <w:color w:val="auto"/>
          <w:sz w:val="24"/>
          <w:lang w:eastAsia="zh-CN"/>
        </w:rPr>
        <w:t>）</w:t>
      </w:r>
      <w:r>
        <w:rPr>
          <w:rFonts w:hint="eastAsia" w:ascii="仿宋" w:hAnsi="仿宋" w:eastAsia="仿宋" w:cs="仿宋"/>
          <w:color w:val="auto"/>
          <w:sz w:val="24"/>
        </w:rPr>
        <w:t>保修期及售后服务要求</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kern w:val="0"/>
          <w:sz w:val="24"/>
        </w:rPr>
        <w:t>中标人必须在</w:t>
      </w:r>
      <w:r>
        <w:rPr>
          <w:rFonts w:hint="eastAsia" w:ascii="仿宋" w:hAnsi="仿宋" w:eastAsia="仿宋" w:cs="仿宋"/>
          <w:color w:val="auto"/>
          <w:kern w:val="0"/>
          <w:sz w:val="24"/>
          <w:u w:val="single"/>
        </w:rPr>
        <w:t>中国境内</w:t>
      </w:r>
      <w:r>
        <w:rPr>
          <w:rFonts w:hint="eastAsia" w:ascii="仿宋" w:hAnsi="仿宋" w:eastAsia="仿宋" w:cs="仿宋"/>
          <w:color w:val="auto"/>
          <w:kern w:val="0"/>
          <w:sz w:val="24"/>
        </w:rPr>
        <w:t>有售后服务机构，并附有售后服务能力说明</w:t>
      </w:r>
      <w:r>
        <w:rPr>
          <w:rFonts w:hint="eastAsia" w:ascii="仿宋" w:hAnsi="仿宋" w:eastAsia="仿宋" w:cs="仿宋"/>
          <w:color w:val="auto"/>
          <w:sz w:val="24"/>
        </w:rPr>
        <w:t>。</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2、设备免费保修期至少为</w:t>
      </w:r>
      <w:r>
        <w:rPr>
          <w:rFonts w:hint="eastAsia" w:ascii="仿宋" w:hAnsi="仿宋" w:eastAsia="仿宋" w:cs="仿宋"/>
          <w:color w:val="auto"/>
          <w:sz w:val="24"/>
          <w:u w:val="single"/>
        </w:rPr>
        <w:t>2</w:t>
      </w:r>
      <w:r>
        <w:rPr>
          <w:rFonts w:hint="eastAsia" w:ascii="仿宋" w:hAnsi="仿宋" w:eastAsia="仿宋" w:cs="仿宋"/>
          <w:color w:val="auto"/>
          <w:sz w:val="24"/>
        </w:rPr>
        <w:t>年，在售后期内, 中标人在接到用户的维修（因质量问题）通知, 响应时间为半小时，工程师到达现场时间为24小时，排除故障时限为到达现场后8小时。</w:t>
      </w:r>
    </w:p>
    <w:p>
      <w:pPr>
        <w:spacing w:line="360" w:lineRule="auto"/>
        <w:rPr>
          <w:rFonts w:hint="eastAsia" w:ascii="仿宋" w:hAnsi="仿宋" w:eastAsia="仿宋" w:cs="仿宋"/>
          <w:color w:val="auto"/>
          <w:kern w:val="0"/>
          <w:sz w:val="24"/>
        </w:rPr>
      </w:pPr>
      <w:r>
        <w:rPr>
          <w:rFonts w:hint="eastAsia" w:ascii="仿宋" w:hAnsi="仿宋" w:eastAsia="仿宋" w:cs="仿宋"/>
          <w:color w:val="auto"/>
          <w:sz w:val="24"/>
        </w:rPr>
        <w:t>3、如果产品故障在检修12小时后仍无法排除，中标人应在24小时内提供不低于故障产品规格型号档次的备用产品供采购人使用，直至故障产品修复。</w:t>
      </w:r>
      <w:r>
        <w:rPr>
          <w:rFonts w:hint="eastAsia" w:ascii="仿宋" w:hAnsi="仿宋" w:eastAsia="仿宋" w:cs="仿宋"/>
          <w:color w:val="auto"/>
          <w:kern w:val="0"/>
          <w:sz w:val="24"/>
        </w:rPr>
        <w:t xml:space="preserve">        </w:t>
      </w:r>
    </w:p>
    <w:p>
      <w:pPr>
        <w:spacing w:line="360" w:lineRule="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三</w:t>
      </w:r>
      <w:r>
        <w:rPr>
          <w:rFonts w:hint="eastAsia" w:ascii="仿宋" w:hAnsi="仿宋" w:eastAsia="仿宋" w:cs="仿宋"/>
          <w:color w:val="auto"/>
          <w:sz w:val="24"/>
          <w:lang w:eastAsia="zh-CN"/>
        </w:rPr>
        <w:t>）</w:t>
      </w:r>
      <w:r>
        <w:rPr>
          <w:rFonts w:hint="eastAsia" w:ascii="仿宋" w:hAnsi="仿宋" w:eastAsia="仿宋" w:cs="仿宋"/>
          <w:color w:val="auto"/>
          <w:sz w:val="24"/>
        </w:rPr>
        <w:t>付款方式</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★3.1本合同的每笔款项以人民币转账方式支付，合同设备到采购人指定地点交付并完成安装，验收合格后，中标单位凭：</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（1）合同；</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（2）验收调试合格报告（加盖采购人公章）；</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（3）中标供应商开具的正式发票（加盖发票专用章）。</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3.2具体付款方式：合同签订后，采购人预付合同总金额的20%款项，同时中标供应商须提供相同金额的收款收据；中标供应商按合同协议时间提供设备，并经协议规定的验收机构书面确认验收合格后，开具全额发票，采购人确认发票无误后</w:t>
      </w:r>
      <w:r>
        <w:rPr>
          <w:rFonts w:hint="eastAsia" w:ascii="仿宋" w:hAnsi="仿宋" w:eastAsia="仿宋" w:cs="仿宋"/>
          <w:color w:val="auto"/>
          <w:sz w:val="24"/>
          <w:lang w:val="en-US" w:eastAsia="zh-CN"/>
        </w:rPr>
        <w:t>30日</w:t>
      </w:r>
      <w:r>
        <w:rPr>
          <w:rFonts w:hint="eastAsia" w:ascii="仿宋" w:hAnsi="仿宋" w:eastAsia="仿宋" w:cs="仿宋"/>
          <w:color w:val="auto"/>
          <w:sz w:val="24"/>
        </w:rPr>
        <w:t>内支付合同总金额的75%；合同总金额的5%在质保期满后一次性无息退还。</w:t>
      </w:r>
    </w:p>
    <w:p>
      <w:pPr>
        <w:pStyle w:val="6"/>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6"/>
        <w:ind w:firstLine="1767" w:firstLineChars="400"/>
        <w:rPr>
          <w:rFonts w:hint="eastAsia" w:ascii="仿宋" w:hAnsi="仿宋" w:eastAsia="仿宋" w:cs="仿宋"/>
          <w:b/>
          <w:bCs/>
          <w:color w:val="auto"/>
          <w:kern w:val="2"/>
          <w:sz w:val="28"/>
          <w:szCs w:val="28"/>
          <w:lang w:val="en-US" w:eastAsia="zh-CN" w:bidi="ar-SA"/>
        </w:rPr>
      </w:pPr>
      <w:r>
        <w:rPr>
          <w:rFonts w:hint="eastAsia" w:ascii="宋体" w:hAnsi="宋体" w:eastAsia="宋体" w:cs="宋体"/>
          <w:b/>
          <w:bCs/>
          <w:color w:val="auto"/>
          <w:kern w:val="2"/>
          <w:sz w:val="44"/>
          <w:szCs w:val="44"/>
          <w:lang w:val="en-US" w:eastAsia="zh-CN" w:bidi="ar-SA"/>
        </w:rPr>
        <w:t>第</w:t>
      </w:r>
      <w:r>
        <w:rPr>
          <w:rFonts w:hint="eastAsia" w:ascii="宋体" w:hAnsi="宋体" w:cs="宋体"/>
          <w:b/>
          <w:bCs/>
          <w:color w:val="auto"/>
          <w:kern w:val="2"/>
          <w:sz w:val="44"/>
          <w:szCs w:val="44"/>
          <w:lang w:val="en-US" w:eastAsia="zh-CN" w:bidi="ar-SA"/>
        </w:rPr>
        <w:t>三</w:t>
      </w:r>
      <w:r>
        <w:rPr>
          <w:rFonts w:hint="eastAsia" w:ascii="宋体" w:hAnsi="宋体" w:eastAsia="宋体" w:cs="宋体"/>
          <w:b/>
          <w:bCs/>
          <w:color w:val="auto"/>
          <w:kern w:val="2"/>
          <w:sz w:val="44"/>
          <w:szCs w:val="44"/>
          <w:lang w:val="en-US" w:eastAsia="zh-CN" w:bidi="ar-SA"/>
        </w:rPr>
        <w:t xml:space="preserve">部分 </w:t>
      </w:r>
      <w:r>
        <w:rPr>
          <w:rFonts w:hint="eastAsia" w:ascii="宋体" w:hAnsi="宋体" w:cs="宋体"/>
          <w:b/>
          <w:bCs/>
          <w:color w:val="auto"/>
          <w:kern w:val="2"/>
          <w:sz w:val="44"/>
          <w:szCs w:val="44"/>
          <w:lang w:val="en-US" w:eastAsia="zh-CN" w:bidi="ar-SA"/>
        </w:rPr>
        <w:t xml:space="preserve"> </w:t>
      </w:r>
      <w:r>
        <w:rPr>
          <w:rFonts w:hint="eastAsia" w:ascii="宋体" w:hAnsi="宋体" w:eastAsia="宋体" w:cs="宋体"/>
          <w:b/>
          <w:bCs/>
          <w:color w:val="auto"/>
          <w:kern w:val="2"/>
          <w:sz w:val="44"/>
          <w:szCs w:val="44"/>
          <w:lang w:val="en-US" w:eastAsia="zh-CN" w:bidi="ar-SA"/>
        </w:rPr>
        <w:t>评分标准</w:t>
      </w:r>
    </w:p>
    <w:p>
      <w:pPr>
        <w:rPr>
          <w:rFonts w:hint="eastAsia" w:ascii="仿宋" w:hAnsi="仿宋" w:eastAsia="仿宋" w:cs="仿宋"/>
          <w:b/>
          <w:bCs/>
          <w:color w:val="auto"/>
          <w:kern w:val="2"/>
          <w:sz w:val="28"/>
          <w:szCs w:val="28"/>
          <w:lang w:val="en-US" w:eastAsia="zh-CN" w:bidi="ar-SA"/>
        </w:rPr>
      </w:pPr>
    </w:p>
    <w:p>
      <w:pPr>
        <w:pStyle w:val="5"/>
        <w:rPr>
          <w:rFonts w:hint="eastAsia" w:ascii="仿宋" w:hAnsi="仿宋" w:eastAsia="仿宋" w:cs="仿宋"/>
          <w:b/>
          <w:bCs/>
          <w:color w:val="auto"/>
          <w:kern w:val="2"/>
          <w:sz w:val="28"/>
          <w:szCs w:val="28"/>
          <w:lang w:val="en-US" w:eastAsia="zh-CN" w:bidi="ar-SA"/>
        </w:rPr>
      </w:pPr>
    </w:p>
    <w:p>
      <w:pPr>
        <w:pStyle w:val="6"/>
        <w:rPr>
          <w:rFonts w:hint="eastAsia" w:ascii="仿宋" w:hAnsi="仿宋" w:eastAsia="仿宋" w:cs="仿宋"/>
          <w:b/>
          <w:bCs/>
          <w:color w:val="auto"/>
          <w:kern w:val="2"/>
          <w:sz w:val="28"/>
          <w:szCs w:val="28"/>
          <w:lang w:val="en-US" w:eastAsia="zh-CN" w:bidi="ar-SA"/>
        </w:rPr>
      </w:pPr>
    </w:p>
    <w:p>
      <w:pPr>
        <w:rPr>
          <w:rFonts w:hint="eastAsia" w:ascii="仿宋" w:hAnsi="仿宋" w:eastAsia="仿宋" w:cs="仿宋"/>
          <w:b/>
          <w:bCs/>
          <w:color w:val="auto"/>
          <w:kern w:val="2"/>
          <w:sz w:val="28"/>
          <w:szCs w:val="28"/>
          <w:lang w:val="en-US" w:eastAsia="zh-CN" w:bidi="ar-SA"/>
        </w:rPr>
      </w:pPr>
    </w:p>
    <w:p>
      <w:pPr>
        <w:pStyle w:val="5"/>
        <w:rPr>
          <w:rFonts w:hint="eastAsia" w:ascii="仿宋" w:hAnsi="仿宋" w:eastAsia="仿宋" w:cs="仿宋"/>
          <w:b/>
          <w:bCs/>
          <w:color w:val="auto"/>
          <w:kern w:val="2"/>
          <w:sz w:val="28"/>
          <w:szCs w:val="28"/>
          <w:lang w:val="en-US" w:eastAsia="zh-CN" w:bidi="ar-SA"/>
        </w:rPr>
      </w:pPr>
    </w:p>
    <w:p>
      <w:pPr>
        <w:pStyle w:val="6"/>
        <w:rPr>
          <w:rFonts w:hint="eastAsia" w:ascii="仿宋" w:hAnsi="仿宋" w:eastAsia="仿宋" w:cs="仿宋"/>
          <w:b/>
          <w:bCs/>
          <w:color w:val="auto"/>
          <w:kern w:val="2"/>
          <w:sz w:val="28"/>
          <w:szCs w:val="28"/>
          <w:lang w:val="en-US" w:eastAsia="zh-CN" w:bidi="ar-SA"/>
        </w:rPr>
      </w:pPr>
    </w:p>
    <w:p>
      <w:pPr>
        <w:rPr>
          <w:rFonts w:hint="eastAsia" w:ascii="仿宋" w:hAnsi="仿宋" w:eastAsia="仿宋" w:cs="仿宋"/>
          <w:b/>
          <w:bCs/>
          <w:color w:val="auto"/>
          <w:kern w:val="2"/>
          <w:sz w:val="28"/>
          <w:szCs w:val="28"/>
          <w:lang w:val="en-US" w:eastAsia="zh-CN" w:bidi="ar-SA"/>
        </w:rPr>
      </w:pPr>
    </w:p>
    <w:p>
      <w:pPr>
        <w:pStyle w:val="5"/>
        <w:rPr>
          <w:rFonts w:hint="eastAsia" w:ascii="仿宋" w:hAnsi="仿宋" w:eastAsia="仿宋" w:cs="仿宋"/>
          <w:b/>
          <w:bCs/>
          <w:color w:val="auto"/>
          <w:kern w:val="2"/>
          <w:sz w:val="28"/>
          <w:szCs w:val="28"/>
          <w:lang w:val="en-US" w:eastAsia="zh-CN" w:bidi="ar-SA"/>
        </w:rPr>
      </w:pPr>
    </w:p>
    <w:p>
      <w:pPr>
        <w:pStyle w:val="6"/>
        <w:rPr>
          <w:rFonts w:hint="eastAsia" w:ascii="仿宋" w:hAnsi="仿宋" w:eastAsia="仿宋" w:cs="仿宋"/>
          <w:b/>
          <w:bCs/>
          <w:color w:val="auto"/>
          <w:kern w:val="2"/>
          <w:sz w:val="28"/>
          <w:szCs w:val="28"/>
          <w:lang w:val="en-US" w:eastAsia="zh-CN" w:bidi="ar-SA"/>
        </w:rPr>
      </w:pPr>
    </w:p>
    <w:p>
      <w:pPr>
        <w:rPr>
          <w:rFonts w:hint="eastAsia" w:ascii="仿宋" w:hAnsi="仿宋" w:eastAsia="仿宋" w:cs="仿宋"/>
          <w:b/>
          <w:bCs/>
          <w:color w:val="auto"/>
          <w:kern w:val="2"/>
          <w:sz w:val="28"/>
          <w:szCs w:val="28"/>
          <w:lang w:val="en-US" w:eastAsia="zh-CN" w:bidi="ar-SA"/>
        </w:rPr>
      </w:pPr>
    </w:p>
    <w:p>
      <w:pPr>
        <w:rPr>
          <w:rFonts w:hint="eastAsia" w:ascii="仿宋" w:hAnsi="仿宋" w:eastAsia="仿宋" w:cs="仿宋"/>
          <w:b/>
          <w:bCs/>
          <w:color w:val="auto"/>
          <w:kern w:val="2"/>
          <w:sz w:val="28"/>
          <w:szCs w:val="28"/>
          <w:lang w:val="en-US" w:eastAsia="zh-CN" w:bidi="ar-SA"/>
        </w:rPr>
      </w:pPr>
    </w:p>
    <w:p>
      <w:pPr>
        <w:pStyle w:val="5"/>
        <w:jc w:val="center"/>
        <w:rPr>
          <w:rFonts w:hint="eastAsia"/>
          <w:color w:val="auto"/>
          <w:sz w:val="28"/>
          <w:szCs w:val="24"/>
          <w:lang w:val="en-US" w:eastAsia="zh-CN"/>
        </w:rPr>
      </w:pPr>
      <w:r>
        <w:rPr>
          <w:rFonts w:hint="eastAsia" w:ascii="仿宋" w:hAnsi="仿宋" w:eastAsia="仿宋" w:cs="仿宋"/>
          <w:b/>
          <w:bCs/>
          <w:color w:val="auto"/>
          <w:kern w:val="2"/>
          <w:sz w:val="36"/>
          <w:szCs w:val="36"/>
          <w:lang w:val="en-US" w:eastAsia="zh-CN" w:bidi="ar-SA"/>
        </w:rPr>
        <w:t>评分标准</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分值</w:t>
      </w:r>
      <w:r>
        <w:rPr>
          <w:rFonts w:hint="eastAsia" w:ascii="仿宋" w:hAnsi="仿宋" w:eastAsia="仿宋" w:cs="仿宋"/>
          <w:color w:val="auto"/>
          <w:sz w:val="24"/>
          <w:szCs w:val="24"/>
          <w:highlight w:val="none"/>
          <w:lang w:val="en-US" w:eastAsia="zh-CN"/>
        </w:rPr>
        <w:t>分配</w:t>
      </w:r>
      <w:r>
        <w:rPr>
          <w:rFonts w:hint="eastAsia" w:ascii="仿宋" w:hAnsi="仿宋" w:eastAsia="仿宋" w:cs="仿宋"/>
          <w:color w:val="auto"/>
          <w:sz w:val="24"/>
          <w:szCs w:val="24"/>
          <w:highlight w:val="none"/>
        </w:rPr>
        <w:t>：</w:t>
      </w:r>
    </w:p>
    <w:p>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总分=技术商务评审+价格评审</w:t>
      </w:r>
    </w:p>
    <w:tbl>
      <w:tblPr>
        <w:tblStyle w:val="16"/>
        <w:tblpPr w:leftFromText="180" w:rightFromText="180" w:vertAnchor="text" w:horzAnchor="page" w:tblpX="1695" w:tblpY="321"/>
        <w:tblOverlap w:val="never"/>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2913"/>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2" w:type="dxa"/>
            <w:vAlign w:val="center"/>
          </w:tcPr>
          <w:p>
            <w:pPr>
              <w:pStyle w:val="14"/>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评审</w:t>
            </w:r>
          </w:p>
        </w:tc>
        <w:tc>
          <w:tcPr>
            <w:tcW w:w="2913" w:type="dxa"/>
            <w:vAlign w:val="center"/>
          </w:tcPr>
          <w:p>
            <w:pPr>
              <w:pStyle w:val="14"/>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价格评审</w:t>
            </w:r>
          </w:p>
        </w:tc>
        <w:tc>
          <w:tcPr>
            <w:tcW w:w="2913" w:type="dxa"/>
            <w:vAlign w:val="center"/>
          </w:tcPr>
          <w:p>
            <w:pPr>
              <w:pStyle w:val="14"/>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912" w:type="dxa"/>
            <w:vAlign w:val="center"/>
          </w:tcPr>
          <w:p>
            <w:pPr>
              <w:pStyle w:val="14"/>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70</w:t>
            </w:r>
            <w:r>
              <w:rPr>
                <w:rFonts w:hint="eastAsia" w:ascii="仿宋" w:hAnsi="仿宋" w:eastAsia="仿宋" w:cs="仿宋"/>
                <w:color w:val="auto"/>
                <w:sz w:val="24"/>
                <w:szCs w:val="24"/>
                <w:highlight w:val="none"/>
                <w:lang w:val="en-US" w:eastAsia="zh-CN"/>
              </w:rPr>
              <w:t>分</w:t>
            </w:r>
          </w:p>
        </w:tc>
        <w:tc>
          <w:tcPr>
            <w:tcW w:w="2913" w:type="dxa"/>
            <w:vAlign w:val="center"/>
          </w:tcPr>
          <w:p>
            <w:pPr>
              <w:pStyle w:val="14"/>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30</w:t>
            </w:r>
            <w:r>
              <w:rPr>
                <w:rFonts w:hint="eastAsia" w:ascii="仿宋" w:hAnsi="仿宋" w:eastAsia="仿宋" w:cs="仿宋"/>
                <w:color w:val="auto"/>
                <w:sz w:val="24"/>
                <w:szCs w:val="24"/>
                <w:highlight w:val="none"/>
                <w:lang w:val="en-US" w:eastAsia="zh-CN"/>
              </w:rPr>
              <w:t>分</w:t>
            </w:r>
          </w:p>
        </w:tc>
        <w:tc>
          <w:tcPr>
            <w:tcW w:w="2913" w:type="dxa"/>
            <w:vAlign w:val="center"/>
          </w:tcPr>
          <w:p>
            <w:pPr>
              <w:pStyle w:val="14"/>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100</w:t>
            </w:r>
            <w:r>
              <w:rPr>
                <w:rFonts w:hint="eastAsia" w:ascii="仿宋" w:hAnsi="仿宋" w:eastAsia="仿宋" w:cs="仿宋"/>
                <w:color w:val="auto"/>
                <w:sz w:val="24"/>
                <w:szCs w:val="24"/>
                <w:highlight w:val="none"/>
                <w:lang w:val="en-US" w:eastAsia="zh-CN"/>
              </w:rPr>
              <w:t>分</w:t>
            </w:r>
          </w:p>
        </w:tc>
      </w:tr>
    </w:tbl>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rPr>
        <w:t>价格评</w:t>
      </w:r>
      <w:r>
        <w:rPr>
          <w:rFonts w:hint="eastAsia" w:ascii="仿宋" w:hAnsi="仿宋" w:eastAsia="仿宋" w:cs="仿宋"/>
          <w:color w:val="auto"/>
          <w:sz w:val="24"/>
          <w:szCs w:val="24"/>
          <w:lang w:val="en-US" w:eastAsia="zh-CN"/>
        </w:rPr>
        <w:t>审</w:t>
      </w:r>
      <w:r>
        <w:rPr>
          <w:rFonts w:hint="eastAsia" w:ascii="仿宋" w:hAnsi="仿宋" w:eastAsia="仿宋" w:cs="仿宋"/>
          <w:color w:val="auto"/>
          <w:sz w:val="24"/>
          <w:szCs w:val="24"/>
        </w:rPr>
        <w:t>：</w:t>
      </w:r>
    </w:p>
    <w:p>
      <w:pPr>
        <w:shd w:val="solid" w:color="FFFFFF" w:fill="auto"/>
        <w:autoSpaceDN w:val="0"/>
        <w:spacing w:after="225" w:line="240" w:lineRule="auto"/>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报价得分=（</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基准价/最后</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报价）×</w:t>
      </w:r>
      <w:r>
        <w:rPr>
          <w:rFonts w:hint="eastAsia" w:ascii="仿宋" w:hAnsi="仿宋" w:eastAsia="仿宋" w:cs="仿宋"/>
          <w:color w:val="auto"/>
          <w:sz w:val="24"/>
          <w:szCs w:val="24"/>
          <w:lang w:val="en-US" w:eastAsia="zh-CN"/>
        </w:rPr>
        <w:t>30</w:t>
      </w:r>
    </w:p>
    <w:p>
      <w:pPr>
        <w:shd w:val="solid" w:color="FFFFFF" w:fill="auto"/>
        <w:autoSpaceDN w:val="0"/>
        <w:spacing w:after="225" w:line="240" w:lineRule="auto"/>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bCs/>
          <w:color w:val="auto"/>
          <w:sz w:val="24"/>
          <w:szCs w:val="24"/>
        </w:rPr>
        <w:t>报价得分四舍五入后，</w:t>
      </w:r>
      <w:r>
        <w:rPr>
          <w:rFonts w:hint="eastAsia" w:ascii="仿宋" w:hAnsi="仿宋" w:eastAsia="仿宋" w:cs="仿宋"/>
          <w:color w:val="auto"/>
          <w:sz w:val="24"/>
          <w:szCs w:val="24"/>
        </w:rPr>
        <w:t>小数点后保留两位有效数</w:t>
      </w:r>
    </w:p>
    <w:p>
      <w:pPr>
        <w:pStyle w:val="12"/>
        <w:spacing w:line="240" w:lineRule="auto"/>
        <w:ind w:left="0" w:leftChars="0"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依此计算出所有响应供应商的价格评分。</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评审：</w:t>
      </w:r>
    </w:p>
    <w:tbl>
      <w:tblPr>
        <w:tblStyle w:val="15"/>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969"/>
        <w:gridCol w:w="504"/>
        <w:gridCol w:w="617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D9D9D9"/>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969" w:type="dxa"/>
            <w:shd w:val="clear" w:color="000000" w:fill="D9D9D9"/>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评分指标</w:t>
            </w:r>
          </w:p>
        </w:tc>
        <w:tc>
          <w:tcPr>
            <w:tcW w:w="504" w:type="dxa"/>
            <w:shd w:val="clear" w:color="000000" w:fill="D9D9D9"/>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6178" w:type="dxa"/>
            <w:shd w:val="clear" w:color="000000" w:fill="D9D9D9"/>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评分范围</w:t>
            </w:r>
          </w:p>
        </w:tc>
        <w:tc>
          <w:tcPr>
            <w:tcW w:w="996" w:type="dxa"/>
            <w:shd w:val="clear" w:color="000000" w:fill="D9D9D9"/>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w:t>
            </w:r>
          </w:p>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FFFFFF"/>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69" w:type="dxa"/>
            <w:shd w:val="clear" w:color="000000" w:fill="FFFFFF"/>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用户需求响应程度</w:t>
            </w:r>
          </w:p>
        </w:tc>
        <w:tc>
          <w:tcPr>
            <w:tcW w:w="504" w:type="dxa"/>
            <w:shd w:val="clear" w:color="000000" w:fill="FFFFFF"/>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6178" w:type="dxa"/>
            <w:shd w:val="clear" w:color="000000" w:fill="FFFFFF"/>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根据投标文件对用户需求书中的条款（即非“★”号条款）响应程度进行评审，完全满足得30分。其中，带“▲”号参数为重要技术指标，一项不满足（负偏离）扣</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分；非“▲”号参数（带“★号”项除外）为一般性技术指标，一项不满足（负偏离）扣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分，扣完为止。</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rPr>
              <w:t>以“技术条款响应表”及应招标要求提供的相关证明材料作为评审依据。</w:t>
            </w:r>
          </w:p>
        </w:tc>
        <w:tc>
          <w:tcPr>
            <w:tcW w:w="996" w:type="dxa"/>
            <w:shd w:val="clear" w:color="000000" w:fill="FFFFFF"/>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FFFFFF"/>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69" w:type="dxa"/>
            <w:shd w:val="clear" w:color="000000" w:fill="FFFFFF"/>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设备技术的先进性和可靠性</w:t>
            </w:r>
          </w:p>
        </w:tc>
        <w:tc>
          <w:tcPr>
            <w:tcW w:w="504" w:type="dxa"/>
            <w:shd w:val="clear" w:color="000000" w:fill="FFFFFF"/>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178" w:type="dxa"/>
            <w:shd w:val="clear" w:color="000000" w:fill="FFFFFF"/>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根据供应商所投设备的技术的先进性和可靠性（技术支撑程度、工作原理先进性，自动化程度、运行稳定性程度）进行评审。</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优：所投设备技术先进，可靠性强的，得10分；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良：所投设备技术较先进，可靠性较强的，得6分；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中：所投设备技术一般，可靠性一般的，得3分；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差：所投设备的技术先进性差，可靠性差的，得0分。</w:t>
            </w:r>
          </w:p>
        </w:tc>
        <w:tc>
          <w:tcPr>
            <w:tcW w:w="996" w:type="dxa"/>
            <w:shd w:val="clear" w:color="000000" w:fill="FFFFFF"/>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FFFFFF"/>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69" w:type="dxa"/>
            <w:shd w:val="clear" w:color="000000" w:fill="FFFFFF"/>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设备的拓展性</w:t>
            </w:r>
          </w:p>
        </w:tc>
        <w:tc>
          <w:tcPr>
            <w:tcW w:w="504" w:type="dxa"/>
            <w:shd w:val="clear" w:color="000000" w:fill="FFFFFF"/>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178" w:type="dxa"/>
            <w:shd w:val="clear" w:color="000000" w:fill="FFFFFF"/>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根据供应商所投设备的拓展性（功能是否齐全、能否完好的适应用户环境及需求）进行评审。</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优：所投设备的拓展性好的，得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良：所投设备的拓展性较好的，得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中：所投设备的拓展性一般的，得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差：所投设备的拓展性差的，得0分。</w:t>
            </w:r>
          </w:p>
        </w:tc>
        <w:tc>
          <w:tcPr>
            <w:tcW w:w="996" w:type="dxa"/>
            <w:shd w:val="clear" w:color="000000" w:fill="FFFFFF"/>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445" w:type="dxa"/>
            <w:shd w:val="clear" w:color="000000" w:fill="FFFFFF"/>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69" w:type="dxa"/>
            <w:shd w:val="clear" w:color="000000" w:fill="FFFFFF"/>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设备操作的实用性</w:t>
            </w:r>
          </w:p>
        </w:tc>
        <w:tc>
          <w:tcPr>
            <w:tcW w:w="504" w:type="dxa"/>
            <w:shd w:val="clear" w:color="000000" w:fill="FFFFFF"/>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6178" w:type="dxa"/>
            <w:shd w:val="clear" w:color="000000" w:fill="FFFFFF"/>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根据供应商所投设备</w:t>
            </w:r>
            <w:r>
              <w:rPr>
                <w:rFonts w:hint="eastAsia" w:ascii="仿宋" w:hAnsi="仿宋" w:eastAsia="仿宋" w:cs="仿宋"/>
                <w:color w:val="auto"/>
                <w:sz w:val="24"/>
                <w:szCs w:val="24"/>
                <w:highlight w:val="none"/>
                <w:lang w:val="zh-CN"/>
              </w:rPr>
              <w:t>操作的实用性（</w:t>
            </w:r>
            <w:r>
              <w:rPr>
                <w:rFonts w:hint="eastAsia" w:ascii="仿宋" w:hAnsi="仿宋" w:eastAsia="仿宋" w:cs="仿宋"/>
                <w:color w:val="auto"/>
                <w:sz w:val="24"/>
                <w:szCs w:val="24"/>
                <w:highlight w:val="none"/>
              </w:rPr>
              <w:t>操作便利性、维修简易性</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进行评审。</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优：所投设备</w:t>
            </w:r>
            <w:r>
              <w:rPr>
                <w:rFonts w:hint="eastAsia" w:ascii="仿宋" w:hAnsi="仿宋" w:eastAsia="仿宋" w:cs="仿宋"/>
                <w:color w:val="auto"/>
                <w:sz w:val="24"/>
                <w:szCs w:val="24"/>
                <w:highlight w:val="none"/>
                <w:lang w:val="zh-CN"/>
              </w:rPr>
              <w:t>操作</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zh-CN"/>
              </w:rPr>
              <w:t>实用性</w:t>
            </w:r>
            <w:r>
              <w:rPr>
                <w:rFonts w:hint="eastAsia" w:ascii="仿宋" w:hAnsi="仿宋" w:eastAsia="仿宋" w:cs="仿宋"/>
                <w:color w:val="auto"/>
                <w:sz w:val="24"/>
                <w:szCs w:val="24"/>
                <w:highlight w:val="none"/>
              </w:rPr>
              <w:t>强的</w:t>
            </w:r>
            <w:r>
              <w:rPr>
                <w:rFonts w:hint="eastAsia" w:ascii="仿宋" w:hAnsi="仿宋" w:eastAsia="仿宋" w:cs="仿宋"/>
                <w:color w:val="auto"/>
                <w:sz w:val="24"/>
                <w:szCs w:val="24"/>
                <w:highlight w:val="none"/>
                <w:lang w:val="zh-CN"/>
              </w:rPr>
              <w:t>，得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良：所投设备</w:t>
            </w:r>
            <w:r>
              <w:rPr>
                <w:rFonts w:hint="eastAsia" w:ascii="仿宋" w:hAnsi="仿宋" w:eastAsia="仿宋" w:cs="仿宋"/>
                <w:color w:val="auto"/>
                <w:sz w:val="24"/>
                <w:szCs w:val="24"/>
                <w:highlight w:val="none"/>
                <w:lang w:val="zh-CN"/>
              </w:rPr>
              <w:t>操作的实用性</w:t>
            </w:r>
            <w:r>
              <w:rPr>
                <w:rFonts w:hint="eastAsia" w:ascii="仿宋" w:hAnsi="仿宋" w:eastAsia="仿宋" w:cs="仿宋"/>
                <w:color w:val="auto"/>
                <w:sz w:val="24"/>
                <w:szCs w:val="24"/>
                <w:highlight w:val="none"/>
              </w:rPr>
              <w:t>较强</w:t>
            </w:r>
            <w:r>
              <w:rPr>
                <w:rFonts w:hint="eastAsia" w:ascii="仿宋" w:hAnsi="仿宋" w:eastAsia="仿宋" w:cs="仿宋"/>
                <w:color w:val="auto"/>
                <w:sz w:val="24"/>
                <w:szCs w:val="24"/>
                <w:highlight w:val="none"/>
                <w:lang w:val="zh-CN"/>
              </w:rPr>
              <w:t>的，得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中：所投设备</w:t>
            </w:r>
            <w:r>
              <w:rPr>
                <w:rFonts w:hint="eastAsia" w:ascii="仿宋" w:hAnsi="仿宋" w:eastAsia="仿宋" w:cs="仿宋"/>
                <w:color w:val="auto"/>
                <w:sz w:val="24"/>
                <w:szCs w:val="24"/>
                <w:highlight w:val="none"/>
                <w:lang w:val="zh-CN"/>
              </w:rPr>
              <w:t>操作的实用性一般的，得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差：所投设备</w:t>
            </w:r>
            <w:r>
              <w:rPr>
                <w:rFonts w:hint="eastAsia" w:ascii="仿宋" w:hAnsi="仿宋" w:eastAsia="仿宋" w:cs="仿宋"/>
                <w:color w:val="auto"/>
                <w:sz w:val="24"/>
                <w:szCs w:val="24"/>
                <w:highlight w:val="none"/>
                <w:lang w:val="zh-CN"/>
              </w:rPr>
              <w:t>操作的实用性差的，得</w:t>
            </w:r>
            <w:r>
              <w:rPr>
                <w:rFonts w:hint="eastAsia" w:ascii="仿宋" w:hAnsi="仿宋" w:eastAsia="仿宋" w:cs="仿宋"/>
                <w:color w:val="auto"/>
                <w:sz w:val="24"/>
                <w:szCs w:val="24"/>
                <w:highlight w:val="none"/>
              </w:rPr>
              <w:t>0分。</w:t>
            </w:r>
          </w:p>
        </w:tc>
        <w:tc>
          <w:tcPr>
            <w:tcW w:w="996" w:type="dxa"/>
            <w:shd w:val="clear" w:color="000000" w:fill="FFFFFF"/>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445" w:type="dxa"/>
            <w:shd w:val="clear" w:color="000000" w:fill="FFFFFF"/>
            <w:vAlign w:val="center"/>
          </w:tcPr>
          <w:p>
            <w:pPr>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5</w:t>
            </w:r>
          </w:p>
        </w:tc>
        <w:tc>
          <w:tcPr>
            <w:tcW w:w="969" w:type="dxa"/>
            <w:shd w:val="clear" w:color="000000" w:fill="FFFFFF"/>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color w:val="auto"/>
                <w:sz w:val="24"/>
              </w:rPr>
              <w:t>商务响应情况</w:t>
            </w:r>
          </w:p>
        </w:tc>
        <w:tc>
          <w:tcPr>
            <w:tcW w:w="504" w:type="dxa"/>
            <w:shd w:val="clear" w:color="000000" w:fill="FFFFFF"/>
            <w:vAlign w:val="center"/>
          </w:tcPr>
          <w:p>
            <w:pPr>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6178" w:type="dxa"/>
            <w:shd w:val="clear" w:color="000000" w:fill="FFFFFF"/>
            <w:vAlign w:val="center"/>
          </w:tcPr>
          <w:p>
            <w:pPr>
              <w:rPr>
                <w:rFonts w:ascii="仿宋" w:hAnsi="仿宋" w:eastAsia="仿宋" w:cs="仿宋"/>
                <w:color w:val="auto"/>
                <w:sz w:val="24"/>
              </w:rPr>
            </w:pPr>
            <w:r>
              <w:rPr>
                <w:rFonts w:hint="eastAsia" w:ascii="仿宋" w:hAnsi="仿宋" w:eastAsia="仿宋" w:cs="仿宋"/>
                <w:color w:val="auto"/>
                <w:sz w:val="24"/>
              </w:rPr>
              <w:t>根据供应商的投标文件的</w:t>
            </w:r>
            <w:r>
              <w:rPr>
                <w:rFonts w:hint="eastAsia" w:ascii="仿宋" w:hAnsi="仿宋" w:eastAsia="仿宋" w:cs="仿宋"/>
                <w:color w:val="auto"/>
                <w:sz w:val="24"/>
                <w:lang w:val="en-US" w:eastAsia="zh-CN"/>
              </w:rPr>
              <w:t>商务</w:t>
            </w:r>
            <w:r>
              <w:rPr>
                <w:rFonts w:hint="eastAsia" w:ascii="仿宋" w:hAnsi="仿宋" w:eastAsia="仿宋" w:cs="仿宋"/>
                <w:color w:val="auto"/>
                <w:sz w:val="24"/>
              </w:rPr>
              <w:t>响应程度进行评审。</w:t>
            </w:r>
          </w:p>
          <w:p>
            <w:pPr>
              <w:rPr>
                <w:rFonts w:ascii="仿宋" w:hAnsi="仿宋" w:eastAsia="仿宋" w:cs="仿宋"/>
                <w:color w:val="auto"/>
                <w:sz w:val="24"/>
              </w:rPr>
            </w:pPr>
            <w:r>
              <w:rPr>
                <w:rFonts w:hint="eastAsia" w:ascii="仿宋" w:hAnsi="仿宋" w:eastAsia="仿宋" w:cs="仿宋"/>
                <w:color w:val="auto"/>
                <w:sz w:val="24"/>
              </w:rPr>
              <w:t>投标文件的响应符合用户需求书的商务要求，得5分；</w:t>
            </w:r>
          </w:p>
          <w:p>
            <w:pPr>
              <w:rPr>
                <w:rFonts w:ascii="仿宋" w:hAnsi="仿宋" w:eastAsia="仿宋" w:cs="仿宋"/>
                <w:color w:val="auto"/>
                <w:sz w:val="24"/>
              </w:rPr>
            </w:pPr>
            <w:r>
              <w:rPr>
                <w:rFonts w:hint="eastAsia" w:ascii="仿宋" w:hAnsi="仿宋" w:eastAsia="仿宋" w:cs="仿宋"/>
                <w:color w:val="auto"/>
                <w:sz w:val="24"/>
              </w:rPr>
              <w:t>投标文件部分响应用户需求书的商务要求，得2分；</w:t>
            </w:r>
          </w:p>
          <w:p>
            <w:pPr>
              <w:jc w:val="both"/>
              <w:rPr>
                <w:rFonts w:hint="eastAsia" w:ascii="仿宋" w:hAnsi="仿宋" w:eastAsia="仿宋" w:cs="仿宋"/>
                <w:b/>
                <w:color w:val="auto"/>
                <w:sz w:val="24"/>
                <w:szCs w:val="24"/>
                <w:highlight w:val="none"/>
              </w:rPr>
            </w:pPr>
            <w:r>
              <w:rPr>
                <w:rFonts w:hint="eastAsia" w:ascii="仿宋" w:hAnsi="仿宋" w:eastAsia="仿宋" w:cs="仿宋"/>
                <w:color w:val="auto"/>
                <w:sz w:val="24"/>
              </w:rPr>
              <w:t>投标文件的响应较差或无，得0分。</w:t>
            </w:r>
          </w:p>
        </w:tc>
        <w:tc>
          <w:tcPr>
            <w:tcW w:w="996" w:type="dxa"/>
            <w:shd w:val="clear" w:color="000000" w:fill="FFFFFF"/>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445" w:type="dxa"/>
            <w:shd w:val="clear" w:color="000000" w:fill="FFFFFF"/>
            <w:vAlign w:val="center"/>
          </w:tcPr>
          <w:p>
            <w:pPr>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6</w:t>
            </w:r>
          </w:p>
        </w:tc>
        <w:tc>
          <w:tcPr>
            <w:tcW w:w="969" w:type="dxa"/>
            <w:shd w:val="clear" w:color="000000" w:fill="FFFFFF"/>
            <w:vAlign w:val="center"/>
          </w:tcPr>
          <w:p>
            <w:pPr>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质量保证措施</w:t>
            </w:r>
          </w:p>
        </w:tc>
        <w:tc>
          <w:tcPr>
            <w:tcW w:w="504" w:type="dxa"/>
            <w:shd w:val="clear" w:color="000000" w:fill="FFFFFF"/>
            <w:vAlign w:val="center"/>
          </w:tcPr>
          <w:p>
            <w:pPr>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p>
        </w:tc>
        <w:tc>
          <w:tcPr>
            <w:tcW w:w="6178" w:type="dxa"/>
            <w:shd w:val="clear" w:color="000000" w:fill="FFFFFF"/>
            <w:vAlign w:val="center"/>
          </w:tcPr>
          <w:p>
            <w:pPr>
              <w:keepNext w:val="0"/>
              <w:keepLines w:val="0"/>
              <w:pageBreakBefore w:val="0"/>
              <w:kinsoku/>
              <w:topLinePunct w:val="0"/>
              <w:bidi w:val="0"/>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在用户需求质保期要求的基础上</w:t>
            </w:r>
            <w:r>
              <w:rPr>
                <w:rFonts w:hint="eastAsia" w:ascii="仿宋" w:hAnsi="仿宋" w:eastAsia="仿宋" w:cs="仿宋"/>
                <w:color w:val="auto"/>
                <w:sz w:val="24"/>
                <w:szCs w:val="24"/>
                <w:highlight w:val="none"/>
                <w:lang w:eastAsia="zh-CN"/>
              </w:rPr>
              <w:t>：</w:t>
            </w:r>
          </w:p>
          <w:p>
            <w:pPr>
              <w:keepNext w:val="0"/>
              <w:keepLines w:val="0"/>
              <w:pageBreakBefore w:val="0"/>
              <w:numPr>
                <w:ilvl w:val="0"/>
                <w:numId w:val="7"/>
              </w:numPr>
              <w:kinsoku/>
              <w:topLinePunct w:val="0"/>
              <w:bidi w:val="0"/>
              <w:spacing w:line="240" w:lineRule="auto"/>
              <w:ind w:left="425" w:leftChars="0" w:hanging="425"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延长1年，得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pPr>
              <w:keepNext w:val="0"/>
              <w:keepLines w:val="0"/>
              <w:pageBreakBefore w:val="0"/>
              <w:numPr>
                <w:ilvl w:val="0"/>
                <w:numId w:val="7"/>
              </w:numPr>
              <w:kinsoku/>
              <w:topLinePunct w:val="0"/>
              <w:bidi w:val="0"/>
              <w:spacing w:line="240" w:lineRule="auto"/>
              <w:ind w:left="425" w:leftChars="0" w:hanging="425"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延长2年，得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keepNext w:val="0"/>
              <w:keepLines w:val="0"/>
              <w:pageBreakBefore w:val="0"/>
              <w:numPr>
                <w:ilvl w:val="0"/>
                <w:numId w:val="7"/>
              </w:numPr>
              <w:kinsoku/>
              <w:topLinePunct w:val="0"/>
              <w:bidi w:val="0"/>
              <w:spacing w:line="240" w:lineRule="auto"/>
              <w:ind w:left="425" w:leftChars="0" w:hanging="425"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延长3年，得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pPr>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本项最高得分不超过</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分。（延长的质保期须为原厂质保）</w:t>
            </w:r>
          </w:p>
        </w:tc>
        <w:tc>
          <w:tcPr>
            <w:tcW w:w="996" w:type="dxa"/>
            <w:shd w:val="clear" w:color="000000" w:fill="FFFFFF"/>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414" w:type="dxa"/>
            <w:gridSpan w:val="2"/>
            <w:shd w:val="clear" w:color="000000" w:fill="FFFFFF"/>
            <w:vAlign w:val="center"/>
          </w:tcPr>
          <w:p>
            <w:pP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合计</w:t>
            </w:r>
          </w:p>
        </w:tc>
        <w:tc>
          <w:tcPr>
            <w:tcW w:w="504" w:type="dxa"/>
            <w:shd w:val="clear" w:color="000000" w:fill="FFFFFF"/>
            <w:vAlign w:val="center"/>
          </w:tcPr>
          <w:p>
            <w:pPr>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70</w:t>
            </w:r>
          </w:p>
        </w:tc>
        <w:tc>
          <w:tcPr>
            <w:tcW w:w="6178" w:type="dxa"/>
            <w:shd w:val="clear" w:color="000000" w:fill="FFFFFF"/>
            <w:vAlign w:val="center"/>
          </w:tcPr>
          <w:p>
            <w:pPr>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得分合计</w:t>
            </w:r>
          </w:p>
        </w:tc>
        <w:tc>
          <w:tcPr>
            <w:tcW w:w="996" w:type="dxa"/>
            <w:shd w:val="clear" w:color="000000" w:fill="FFFFFF"/>
            <w:vAlign w:val="center"/>
          </w:tcPr>
          <w:p>
            <w:pPr>
              <w:rPr>
                <w:rFonts w:hint="eastAsia" w:ascii="仿宋" w:hAnsi="仿宋" w:eastAsia="仿宋" w:cs="仿宋"/>
                <w:b/>
                <w:bCs/>
                <w:color w:val="auto"/>
                <w:sz w:val="24"/>
                <w:szCs w:val="24"/>
                <w:highlight w:val="none"/>
              </w:rPr>
            </w:pPr>
          </w:p>
        </w:tc>
      </w:tr>
    </w:tbl>
    <w:p>
      <w:pPr>
        <w:pStyle w:val="5"/>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5"/>
        <w:rPr>
          <w:rFonts w:hint="eastAsia"/>
          <w:color w:val="auto"/>
        </w:rPr>
      </w:pPr>
    </w:p>
    <w:p>
      <w:pPr>
        <w:pStyle w:val="3"/>
        <w:bidi w:val="0"/>
        <w:jc w:val="center"/>
        <w:rPr>
          <w:rFonts w:hint="eastAsia"/>
          <w:color w:val="auto"/>
          <w:highlight w:val="none"/>
        </w:rPr>
      </w:pPr>
    </w:p>
    <w:p>
      <w:pPr>
        <w:pStyle w:val="3"/>
        <w:bidi w:val="0"/>
        <w:jc w:val="center"/>
        <w:rPr>
          <w:rFonts w:hint="eastAsia"/>
          <w:color w:val="auto"/>
          <w:highlight w:val="none"/>
        </w:rPr>
      </w:pPr>
    </w:p>
    <w:p>
      <w:pPr>
        <w:pStyle w:val="3"/>
        <w:bidi w:val="0"/>
        <w:jc w:val="center"/>
        <w:rPr>
          <w:rFonts w:hint="eastAsia"/>
          <w:color w:val="auto"/>
          <w:highlight w:val="none"/>
        </w:rPr>
      </w:pPr>
    </w:p>
    <w:p>
      <w:pPr>
        <w:pStyle w:val="3"/>
        <w:bidi w:val="0"/>
        <w:jc w:val="center"/>
        <w:rPr>
          <w:rFonts w:hint="eastAsia"/>
          <w:color w:val="auto"/>
          <w:highlight w:val="none"/>
        </w:rPr>
      </w:pPr>
    </w:p>
    <w:p>
      <w:pPr>
        <w:pStyle w:val="3"/>
        <w:bidi w:val="0"/>
        <w:jc w:val="center"/>
        <w:rPr>
          <w:rFonts w:hint="eastAsia"/>
          <w:color w:val="auto"/>
          <w:highlight w:val="none"/>
        </w:rPr>
      </w:pPr>
    </w:p>
    <w:p>
      <w:pPr>
        <w:pStyle w:val="3"/>
        <w:bidi w:val="0"/>
        <w:jc w:val="center"/>
        <w:rPr>
          <w:rFonts w:hint="eastAsia"/>
          <w:color w:val="auto"/>
          <w:highlight w:val="none"/>
        </w:rPr>
      </w:pPr>
    </w:p>
    <w:p>
      <w:pPr>
        <w:pStyle w:val="3"/>
        <w:bidi w:val="0"/>
        <w:jc w:val="center"/>
        <w:rPr>
          <w:rFonts w:hint="eastAsia"/>
          <w:color w:val="auto"/>
          <w:highlight w:val="none"/>
          <w:lang w:val="en-US" w:eastAsia="zh-CN"/>
        </w:rPr>
      </w:pPr>
      <w:r>
        <w:rPr>
          <w:rFonts w:hint="eastAsia"/>
          <w:color w:val="auto"/>
          <w:highlight w:val="none"/>
        </w:rPr>
        <w:t>第</w:t>
      </w:r>
      <w:r>
        <w:rPr>
          <w:rFonts w:hint="eastAsia"/>
          <w:color w:val="auto"/>
          <w:highlight w:val="none"/>
          <w:lang w:val="en-US" w:eastAsia="zh-CN"/>
        </w:rPr>
        <w:t>四</w:t>
      </w:r>
      <w:r>
        <w:rPr>
          <w:rFonts w:hint="eastAsia"/>
          <w:color w:val="auto"/>
          <w:highlight w:val="none"/>
        </w:rPr>
        <w:t>部分　</w:t>
      </w:r>
      <w:r>
        <w:rPr>
          <w:rFonts w:hint="eastAsia"/>
          <w:color w:val="auto"/>
          <w:highlight w:val="none"/>
          <w:lang w:val="en-US" w:eastAsia="zh-CN"/>
        </w:rPr>
        <w:t>报价文件格式</w:t>
      </w:r>
    </w:p>
    <w:p>
      <w:pPr>
        <w:rPr>
          <w:rFonts w:hint="eastAsia"/>
          <w:color w:val="auto"/>
        </w:rPr>
      </w:pPr>
    </w:p>
    <w:p>
      <w:pPr>
        <w:rPr>
          <w:rFonts w:hint="eastAsia"/>
          <w:color w:val="auto"/>
          <w:sz w:val="24"/>
          <w:szCs w:val="24"/>
        </w:rPr>
      </w:pPr>
    </w:p>
    <w:p>
      <w:pPr>
        <w:pStyle w:val="5"/>
        <w:rPr>
          <w:rFonts w:hint="eastAsia"/>
          <w:color w:val="auto"/>
          <w:sz w:val="24"/>
          <w:szCs w:val="24"/>
        </w:rPr>
      </w:pPr>
    </w:p>
    <w:p>
      <w:pPr>
        <w:pStyle w:val="6"/>
        <w:rPr>
          <w:rFonts w:hint="eastAsia"/>
          <w:color w:val="auto"/>
          <w:sz w:val="24"/>
          <w:szCs w:val="24"/>
        </w:rPr>
      </w:pPr>
    </w:p>
    <w:p>
      <w:pPr>
        <w:rPr>
          <w:rFonts w:hint="eastAsia"/>
          <w:color w:val="auto"/>
          <w:sz w:val="24"/>
          <w:szCs w:val="24"/>
        </w:rPr>
      </w:pPr>
    </w:p>
    <w:p>
      <w:pPr>
        <w:pStyle w:val="5"/>
        <w:rPr>
          <w:rFonts w:hint="eastAsia"/>
          <w:color w:val="auto"/>
          <w:sz w:val="24"/>
          <w:szCs w:val="24"/>
        </w:rPr>
      </w:pPr>
    </w:p>
    <w:p>
      <w:pPr>
        <w:pStyle w:val="6"/>
        <w:rPr>
          <w:rFonts w:hint="eastAsia"/>
          <w:color w:val="auto"/>
          <w:sz w:val="24"/>
          <w:szCs w:val="24"/>
        </w:rPr>
      </w:pPr>
    </w:p>
    <w:p>
      <w:pPr>
        <w:rPr>
          <w:rFonts w:hint="eastAsia"/>
          <w:color w:val="auto"/>
          <w:sz w:val="24"/>
          <w:szCs w:val="24"/>
        </w:rPr>
      </w:pPr>
    </w:p>
    <w:p>
      <w:pPr>
        <w:pStyle w:val="5"/>
        <w:rPr>
          <w:rFonts w:hint="eastAsia"/>
          <w:color w:val="auto"/>
          <w:sz w:val="24"/>
          <w:szCs w:val="24"/>
        </w:rPr>
      </w:pPr>
    </w:p>
    <w:p>
      <w:pPr>
        <w:pStyle w:val="6"/>
        <w:rPr>
          <w:rFonts w:hint="eastAsia"/>
          <w:color w:val="auto"/>
          <w:sz w:val="24"/>
          <w:szCs w:val="24"/>
        </w:rPr>
      </w:pPr>
    </w:p>
    <w:p>
      <w:pPr>
        <w:rPr>
          <w:rFonts w:hint="eastAsia"/>
          <w:color w:val="auto"/>
          <w:sz w:val="24"/>
          <w:szCs w:val="24"/>
        </w:rPr>
      </w:pPr>
    </w:p>
    <w:p>
      <w:pPr>
        <w:pStyle w:val="5"/>
        <w:rPr>
          <w:rFonts w:hint="eastAsia"/>
          <w:color w:val="auto"/>
          <w:sz w:val="24"/>
          <w:szCs w:val="24"/>
        </w:rPr>
      </w:pPr>
    </w:p>
    <w:p>
      <w:pPr>
        <w:pStyle w:val="6"/>
        <w:rPr>
          <w:rFonts w:hint="eastAsia"/>
          <w:color w:val="auto"/>
          <w:sz w:val="24"/>
          <w:szCs w:val="24"/>
        </w:rPr>
      </w:pPr>
    </w:p>
    <w:p>
      <w:pPr>
        <w:rPr>
          <w:rFonts w:hint="eastAsia"/>
          <w:color w:val="auto"/>
          <w:sz w:val="24"/>
          <w:szCs w:val="24"/>
        </w:rPr>
      </w:pPr>
    </w:p>
    <w:p>
      <w:pPr>
        <w:pStyle w:val="5"/>
        <w:rPr>
          <w:rFonts w:hint="eastAsia"/>
          <w:color w:val="auto"/>
          <w:sz w:val="24"/>
          <w:szCs w:val="24"/>
        </w:rPr>
      </w:pPr>
    </w:p>
    <w:p>
      <w:pPr>
        <w:pStyle w:val="6"/>
        <w:rPr>
          <w:rFonts w:hint="eastAsia"/>
          <w:color w:val="auto"/>
          <w:sz w:val="24"/>
          <w:szCs w:val="24"/>
        </w:rPr>
      </w:pPr>
    </w:p>
    <w:p>
      <w:pPr>
        <w:pStyle w:val="5"/>
        <w:rPr>
          <w:rFonts w:hint="eastAsia"/>
          <w:color w:val="auto"/>
          <w:sz w:val="24"/>
          <w:szCs w:val="24"/>
        </w:rPr>
      </w:pPr>
    </w:p>
    <w:p>
      <w:pPr>
        <w:pStyle w:val="6"/>
        <w:rPr>
          <w:rFonts w:hint="eastAsia"/>
          <w:color w:val="auto"/>
          <w:sz w:val="24"/>
          <w:szCs w:val="24"/>
        </w:rPr>
      </w:pPr>
    </w:p>
    <w:p>
      <w:pPr>
        <w:spacing w:line="44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报价单</w:t>
      </w:r>
    </w:p>
    <w:p>
      <w:pPr>
        <w:spacing w:line="440" w:lineRule="exact"/>
        <w:jc w:val="center"/>
        <w:rPr>
          <w:rFonts w:hint="eastAsia" w:ascii="仿宋" w:hAnsi="仿宋" w:eastAsia="仿宋" w:cs="仿宋"/>
          <w:color w:val="auto"/>
          <w:sz w:val="24"/>
          <w:szCs w:val="24"/>
        </w:rPr>
      </w:pP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致中山市小榄人民医院：</w:t>
      </w:r>
    </w:p>
    <w:tbl>
      <w:tblPr>
        <w:tblStyle w:val="16"/>
        <w:tblpPr w:leftFromText="180" w:rightFromText="180" w:vertAnchor="text" w:horzAnchor="page" w:tblpX="1935" w:tblpY="39"/>
        <w:tblOverlap w:val="never"/>
        <w:tblW w:w="8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245" w:type="dxa"/>
            <w:vAlign w:val="top"/>
          </w:tcPr>
          <w:p>
            <w:pPr>
              <w:jc w:val="left"/>
              <w:rPr>
                <w:rFonts w:hint="eastAsia" w:ascii="仿宋" w:hAnsi="仿宋" w:eastAsia="仿宋" w:cs="仿宋"/>
                <w:color w:val="auto"/>
                <w:sz w:val="28"/>
                <w:szCs w:val="28"/>
              </w:rPr>
            </w:pPr>
            <w:r>
              <w:rPr>
                <w:rFonts w:hint="eastAsia" w:ascii="仿宋" w:hAnsi="仿宋" w:eastAsia="仿宋" w:cs="仿宋"/>
                <w:color w:val="auto"/>
                <w:sz w:val="28"/>
                <w:szCs w:val="28"/>
              </w:rPr>
              <w:t>设备名称</w:t>
            </w:r>
          </w:p>
        </w:tc>
        <w:tc>
          <w:tcPr>
            <w:tcW w:w="5954" w:type="dxa"/>
            <w:vAlign w:val="top"/>
          </w:tcPr>
          <w:p>
            <w:pPr>
              <w:jc w:val="left"/>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245" w:type="dxa"/>
            <w:vAlign w:val="top"/>
          </w:tcPr>
          <w:p>
            <w:pPr>
              <w:jc w:val="left"/>
              <w:rPr>
                <w:rFonts w:hint="eastAsia" w:ascii="仿宋" w:hAnsi="仿宋" w:eastAsia="仿宋" w:cs="仿宋"/>
                <w:color w:val="auto"/>
                <w:sz w:val="28"/>
                <w:szCs w:val="28"/>
              </w:rPr>
            </w:pPr>
            <w:r>
              <w:rPr>
                <w:rFonts w:hint="eastAsia" w:ascii="仿宋" w:hAnsi="仿宋" w:eastAsia="仿宋" w:cs="仿宋"/>
                <w:color w:val="auto"/>
                <w:sz w:val="28"/>
                <w:szCs w:val="28"/>
              </w:rPr>
              <w:t>设备型号</w:t>
            </w:r>
          </w:p>
        </w:tc>
        <w:tc>
          <w:tcPr>
            <w:tcW w:w="5954" w:type="dxa"/>
            <w:vAlign w:val="top"/>
          </w:tcPr>
          <w:p>
            <w:pPr>
              <w:jc w:val="left"/>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245" w:type="dxa"/>
            <w:vAlign w:val="top"/>
          </w:tcPr>
          <w:p>
            <w:pPr>
              <w:jc w:val="left"/>
              <w:rPr>
                <w:rFonts w:hint="eastAsia" w:ascii="仿宋" w:hAnsi="仿宋" w:eastAsia="仿宋" w:cs="仿宋"/>
                <w:color w:val="auto"/>
                <w:sz w:val="28"/>
                <w:szCs w:val="28"/>
              </w:rPr>
            </w:pPr>
            <w:r>
              <w:rPr>
                <w:rFonts w:hint="eastAsia" w:ascii="仿宋" w:hAnsi="仿宋" w:eastAsia="仿宋" w:cs="仿宋"/>
                <w:color w:val="auto"/>
                <w:sz w:val="28"/>
                <w:szCs w:val="28"/>
              </w:rPr>
              <w:t>厂家/品牌</w:t>
            </w:r>
          </w:p>
        </w:tc>
        <w:tc>
          <w:tcPr>
            <w:tcW w:w="5954" w:type="dxa"/>
            <w:vAlign w:val="top"/>
          </w:tcPr>
          <w:p>
            <w:pPr>
              <w:jc w:val="left"/>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245" w:type="dxa"/>
            <w:vAlign w:val="top"/>
          </w:tcPr>
          <w:p>
            <w:pPr>
              <w:jc w:val="left"/>
              <w:rPr>
                <w:rFonts w:hint="eastAsia" w:ascii="仿宋" w:hAnsi="仿宋" w:eastAsia="仿宋" w:cs="仿宋"/>
                <w:color w:val="auto"/>
                <w:sz w:val="28"/>
                <w:szCs w:val="28"/>
              </w:rPr>
            </w:pPr>
            <w:r>
              <w:rPr>
                <w:rFonts w:hint="eastAsia" w:ascii="仿宋" w:hAnsi="仿宋" w:eastAsia="仿宋" w:cs="仿宋"/>
                <w:color w:val="auto"/>
                <w:sz w:val="28"/>
                <w:szCs w:val="28"/>
              </w:rPr>
              <w:t>产地</w:t>
            </w:r>
          </w:p>
        </w:tc>
        <w:tc>
          <w:tcPr>
            <w:tcW w:w="5954" w:type="dxa"/>
            <w:vAlign w:val="top"/>
          </w:tcPr>
          <w:p>
            <w:pPr>
              <w:jc w:val="left"/>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245" w:type="dxa"/>
            <w:vAlign w:val="top"/>
          </w:tcPr>
          <w:p>
            <w:p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质保期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年</w:t>
            </w:r>
            <w:r>
              <w:rPr>
                <w:rFonts w:hint="eastAsia" w:ascii="仿宋" w:hAnsi="仿宋" w:eastAsia="仿宋" w:cs="仿宋"/>
                <w:color w:val="auto"/>
                <w:sz w:val="28"/>
                <w:szCs w:val="28"/>
                <w:lang w:eastAsia="zh-CN"/>
              </w:rPr>
              <w:t>）</w:t>
            </w:r>
          </w:p>
        </w:tc>
        <w:tc>
          <w:tcPr>
            <w:tcW w:w="5954" w:type="dxa"/>
            <w:vAlign w:val="top"/>
          </w:tcPr>
          <w:p>
            <w:pPr>
              <w:jc w:val="left"/>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245" w:type="dxa"/>
            <w:vAlign w:val="top"/>
          </w:tcPr>
          <w:p>
            <w:p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数量（台）</w:t>
            </w:r>
          </w:p>
        </w:tc>
        <w:tc>
          <w:tcPr>
            <w:tcW w:w="5954" w:type="dxa"/>
            <w:vAlign w:val="top"/>
          </w:tcPr>
          <w:p>
            <w:pPr>
              <w:jc w:val="left"/>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245" w:type="dxa"/>
            <w:vAlign w:val="top"/>
          </w:tcPr>
          <w:p>
            <w:pPr>
              <w:jc w:val="left"/>
              <w:rPr>
                <w:rFonts w:hint="eastAsia" w:ascii="仿宋" w:hAnsi="仿宋" w:eastAsia="仿宋" w:cs="仿宋"/>
                <w:color w:val="auto"/>
                <w:sz w:val="28"/>
                <w:szCs w:val="28"/>
              </w:rPr>
            </w:pPr>
            <w:r>
              <w:rPr>
                <w:rFonts w:hint="eastAsia" w:ascii="仿宋" w:hAnsi="仿宋" w:eastAsia="仿宋" w:cs="仿宋"/>
                <w:color w:val="auto"/>
                <w:sz w:val="28"/>
                <w:szCs w:val="28"/>
              </w:rPr>
              <w:t>单价（元）</w:t>
            </w:r>
          </w:p>
        </w:tc>
        <w:tc>
          <w:tcPr>
            <w:tcW w:w="5954" w:type="dxa"/>
            <w:vAlign w:val="top"/>
          </w:tcPr>
          <w:p>
            <w:p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245" w:type="dxa"/>
            <w:vAlign w:val="top"/>
          </w:tcPr>
          <w:p>
            <w:pPr>
              <w:jc w:val="left"/>
              <w:rPr>
                <w:rFonts w:hint="eastAsia" w:ascii="仿宋" w:hAnsi="仿宋" w:eastAsia="仿宋" w:cs="仿宋"/>
                <w:color w:val="auto"/>
                <w:sz w:val="28"/>
                <w:szCs w:val="28"/>
              </w:rPr>
            </w:pPr>
            <w:r>
              <w:rPr>
                <w:rFonts w:hint="eastAsia" w:ascii="仿宋" w:hAnsi="仿宋" w:eastAsia="仿宋" w:cs="仿宋"/>
                <w:color w:val="auto"/>
                <w:sz w:val="28"/>
                <w:szCs w:val="28"/>
              </w:rPr>
              <w:t>总价（元）</w:t>
            </w:r>
          </w:p>
        </w:tc>
        <w:tc>
          <w:tcPr>
            <w:tcW w:w="5954" w:type="dxa"/>
            <w:vAlign w:val="top"/>
          </w:tcPr>
          <w:p>
            <w:pPr>
              <w:jc w:val="left"/>
              <w:rPr>
                <w:rFonts w:hint="eastAsia" w:ascii="仿宋" w:hAnsi="仿宋" w:eastAsia="仿宋" w:cs="仿宋"/>
                <w:color w:val="auto"/>
                <w:sz w:val="28"/>
                <w:szCs w:val="28"/>
              </w:rPr>
            </w:pPr>
          </w:p>
        </w:tc>
      </w:tr>
    </w:tbl>
    <w:p>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jc w:val="both"/>
        <w:rPr>
          <w:rFonts w:hint="eastAsia" w:ascii="仿宋" w:hAnsi="仿宋" w:eastAsia="仿宋" w:cs="仿宋"/>
          <w:color w:val="auto"/>
          <w:sz w:val="28"/>
          <w:szCs w:val="28"/>
        </w:rPr>
      </w:pPr>
      <w:r>
        <w:rPr>
          <w:rFonts w:hint="eastAsia" w:ascii="仿宋" w:hAnsi="仿宋" w:eastAsia="仿宋" w:cs="仿宋"/>
          <w:color w:val="auto"/>
          <w:sz w:val="28"/>
          <w:szCs w:val="28"/>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报价时间：</w:t>
      </w:r>
    </w:p>
    <w:p>
      <w:pPr>
        <w:numPr>
          <w:ilvl w:val="0"/>
          <w:numId w:val="0"/>
        </w:numPr>
        <w:spacing w:line="440" w:lineRule="exact"/>
        <w:rPr>
          <w:rFonts w:hint="eastAsia" w:ascii="仿宋" w:hAnsi="仿宋" w:eastAsia="仿宋" w:cs="仿宋"/>
          <w:b/>
          <w:bCs/>
          <w:color w:val="auto"/>
          <w:sz w:val="28"/>
          <w:szCs w:val="28"/>
        </w:rPr>
      </w:pPr>
    </w:p>
    <w:p>
      <w:pPr>
        <w:pStyle w:val="2"/>
        <w:rPr>
          <w:rFonts w:hint="eastAsia" w:ascii="仿宋" w:hAnsi="仿宋" w:eastAsia="仿宋" w:cs="仿宋"/>
          <w:b/>
          <w:bCs/>
          <w:color w:val="auto"/>
          <w:sz w:val="28"/>
          <w:szCs w:val="28"/>
        </w:rPr>
      </w:pPr>
    </w:p>
    <w:p>
      <w:pPr>
        <w:pStyle w:val="2"/>
        <w:rPr>
          <w:rFonts w:hint="eastAsia" w:ascii="仿宋" w:hAnsi="仿宋" w:eastAsia="仿宋" w:cs="仿宋"/>
          <w:b/>
          <w:bCs/>
          <w:color w:val="auto"/>
          <w:sz w:val="28"/>
          <w:szCs w:val="28"/>
        </w:rPr>
      </w:pPr>
    </w:p>
    <w:p>
      <w:pPr>
        <w:pStyle w:val="2"/>
        <w:rPr>
          <w:rFonts w:hint="eastAsia" w:ascii="仿宋" w:hAnsi="仿宋" w:eastAsia="仿宋" w:cs="仿宋"/>
          <w:b/>
          <w:bCs/>
          <w:color w:val="auto"/>
          <w:sz w:val="28"/>
          <w:szCs w:val="28"/>
        </w:rPr>
      </w:pPr>
    </w:p>
    <w:p>
      <w:pPr>
        <w:pStyle w:val="2"/>
        <w:ind w:left="0" w:leftChars="0" w:firstLine="0" w:firstLineChars="0"/>
        <w:rPr>
          <w:rFonts w:hint="eastAsia" w:ascii="仿宋" w:hAnsi="仿宋" w:eastAsia="仿宋" w:cs="仿宋"/>
          <w:b/>
          <w:bCs/>
          <w:color w:val="auto"/>
          <w:sz w:val="28"/>
          <w:szCs w:val="28"/>
        </w:rPr>
      </w:pPr>
    </w:p>
    <w:p>
      <w:pPr>
        <w:spacing w:line="44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参数偏离情况表</w:t>
      </w:r>
    </w:p>
    <w:p>
      <w:p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填写要求：</w:t>
      </w: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1、请按用户需求的要求</w:t>
      </w:r>
      <w:r>
        <w:rPr>
          <w:rFonts w:hint="eastAsia" w:ascii="仿宋" w:hAnsi="仿宋" w:eastAsia="仿宋" w:cs="仿宋"/>
          <w:b/>
          <w:bCs/>
          <w:color w:val="auto"/>
          <w:sz w:val="24"/>
          <w:szCs w:val="24"/>
        </w:rPr>
        <w:t>逐条响应</w:t>
      </w:r>
      <w:r>
        <w:rPr>
          <w:rFonts w:hint="eastAsia" w:ascii="仿宋" w:hAnsi="仿宋" w:eastAsia="仿宋" w:cs="仿宋"/>
          <w:color w:val="auto"/>
          <w:sz w:val="24"/>
          <w:szCs w:val="24"/>
        </w:rPr>
        <w:t>，正负偏离参数请备注说明。</w:t>
      </w: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2、其中带★的参数是</w:t>
      </w:r>
      <w:r>
        <w:rPr>
          <w:rFonts w:hint="eastAsia" w:ascii="仿宋" w:hAnsi="仿宋" w:eastAsia="仿宋" w:cs="仿宋"/>
          <w:b/>
          <w:bCs/>
          <w:color w:val="auto"/>
          <w:sz w:val="24"/>
          <w:szCs w:val="24"/>
        </w:rPr>
        <w:t>必须完全响应</w:t>
      </w:r>
      <w:r>
        <w:rPr>
          <w:rFonts w:hint="eastAsia" w:ascii="仿宋" w:hAnsi="仿宋" w:eastAsia="仿宋" w:cs="仿宋"/>
          <w:color w:val="auto"/>
          <w:sz w:val="24"/>
          <w:szCs w:val="24"/>
        </w:rPr>
        <w:t>的参数。</w:t>
      </w: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3、所投产品的</w:t>
      </w:r>
      <w:r>
        <w:rPr>
          <w:rFonts w:hint="eastAsia" w:ascii="仿宋" w:hAnsi="仿宋" w:eastAsia="仿宋" w:cs="仿宋"/>
          <w:b/>
          <w:bCs/>
          <w:color w:val="auto"/>
          <w:sz w:val="24"/>
          <w:szCs w:val="24"/>
        </w:rPr>
        <w:t>参数满足率≥90%</w:t>
      </w:r>
      <w:r>
        <w:rPr>
          <w:rFonts w:hint="eastAsia" w:ascii="仿宋" w:hAnsi="仿宋" w:eastAsia="仿宋" w:cs="仿宋"/>
          <w:color w:val="auto"/>
          <w:sz w:val="24"/>
          <w:szCs w:val="24"/>
        </w:rPr>
        <w:t>方视为满足需求的合格产品。</w:t>
      </w:r>
    </w:p>
    <w:p>
      <w:pPr>
        <w:spacing w:line="380" w:lineRule="exact"/>
        <w:rPr>
          <w:rFonts w:hint="eastAsia" w:ascii="仿宋" w:hAnsi="仿宋" w:eastAsia="仿宋" w:cs="仿宋"/>
          <w:color w:val="auto"/>
          <w:sz w:val="24"/>
          <w:szCs w:val="24"/>
        </w:rPr>
      </w:pPr>
    </w:p>
    <w:p>
      <w:pPr>
        <w:numPr>
          <w:ilvl w:val="0"/>
          <w:numId w:val="8"/>
        </w:numPr>
        <w:tabs>
          <w:tab w:val="left" w:pos="720"/>
        </w:tabs>
        <w:spacing w:line="3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技术要求：</w:t>
      </w:r>
      <w:r>
        <w:rPr>
          <w:rFonts w:hint="eastAsia" w:ascii="仿宋" w:hAnsi="仿宋" w:eastAsia="仿宋" w:cs="仿宋"/>
          <w:color w:val="auto"/>
          <w:sz w:val="24"/>
          <w:szCs w:val="24"/>
        </w:rPr>
        <w:t>（请按用户需求里的技术要求及配置要求</w:t>
      </w:r>
      <w:r>
        <w:rPr>
          <w:rFonts w:hint="eastAsia" w:ascii="仿宋" w:hAnsi="仿宋" w:eastAsia="仿宋" w:cs="仿宋"/>
          <w:color w:val="auto"/>
          <w:sz w:val="24"/>
          <w:szCs w:val="24"/>
          <w:highlight w:val="yellow"/>
        </w:rPr>
        <w:t>逐条</w:t>
      </w:r>
      <w:r>
        <w:rPr>
          <w:rFonts w:hint="eastAsia" w:ascii="仿宋" w:hAnsi="仿宋" w:eastAsia="仿宋" w:cs="仿宋"/>
          <w:color w:val="auto"/>
          <w:sz w:val="24"/>
          <w:szCs w:val="24"/>
        </w:rPr>
        <w:t>响应）</w:t>
      </w:r>
    </w:p>
    <w:p>
      <w:pPr>
        <w:tabs>
          <w:tab w:val="left" w:pos="720"/>
        </w:tabs>
        <w:spacing w:line="340" w:lineRule="exact"/>
        <w:jc w:val="left"/>
        <w:rPr>
          <w:rFonts w:hint="eastAsia" w:ascii="仿宋" w:hAnsi="仿宋" w:eastAsia="仿宋" w:cs="仿宋"/>
          <w:b/>
          <w:bCs/>
          <w:color w:val="auto"/>
          <w:sz w:val="24"/>
          <w:szCs w:val="24"/>
        </w:rPr>
      </w:pP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kern w:val="0"/>
                <w:sz w:val="24"/>
                <w:szCs w:val="24"/>
                <w:lang w:val="zh-CN"/>
              </w:rPr>
              <w:t>序号</w:t>
            </w:r>
          </w:p>
        </w:tc>
        <w:tc>
          <w:tcPr>
            <w:tcW w:w="1116"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kern w:val="0"/>
                <w:sz w:val="24"/>
                <w:szCs w:val="24"/>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kern w:val="0"/>
                <w:sz w:val="24"/>
                <w:szCs w:val="24"/>
                <w:lang w:val="zh-CN"/>
              </w:rPr>
              <w:t>技术参数及配置要求</w:t>
            </w:r>
          </w:p>
        </w:tc>
        <w:tc>
          <w:tcPr>
            <w:tcW w:w="1072" w:type="dxa"/>
            <w:shd w:val="clear" w:color="000000" w:fill="FFFFFF"/>
            <w:noWrap/>
            <w:vAlign w:val="center"/>
          </w:tcPr>
          <w:p>
            <w:pPr>
              <w:tabs>
                <w:tab w:val="left" w:pos="720"/>
              </w:tabs>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完全响应或</w:t>
            </w:r>
          </w:p>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sz w:val="24"/>
                <w:szCs w:val="24"/>
              </w:rPr>
              <w:t>正/负偏离</w:t>
            </w:r>
          </w:p>
        </w:tc>
        <w:tc>
          <w:tcPr>
            <w:tcW w:w="1669"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sz w:val="24"/>
                <w:szCs w:val="24"/>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1</w:t>
            </w:r>
          </w:p>
        </w:tc>
        <w:tc>
          <w:tcPr>
            <w:tcW w:w="1116" w:type="dxa"/>
            <w:vMerge w:val="restart"/>
            <w:shd w:val="clear" w:color="000000" w:fill="FFFFFF"/>
            <w:noWrap/>
            <w:vAlign w:val="center"/>
          </w:tcPr>
          <w:p>
            <w:pPr>
              <w:spacing w:line="360" w:lineRule="auto"/>
              <w:ind w:left="-1" w:leftChars="-29" w:hanging="60" w:hangingChars="25"/>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详细参数要求</w:t>
            </w:r>
          </w:p>
          <w:p>
            <w:pPr>
              <w:spacing w:line="360" w:lineRule="auto"/>
              <w:ind w:left="709"/>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420"/>
              </w:tabs>
              <w:spacing w:line="400" w:lineRule="exact"/>
              <w:ind w:left="-10" w:leftChars="-22" w:hanging="36" w:hangingChars="15"/>
              <w:rPr>
                <w:rFonts w:hint="eastAsia" w:ascii="仿宋" w:hAnsi="仿宋" w:eastAsia="仿宋" w:cs="仿宋"/>
                <w:bCs/>
                <w:color w:val="auto"/>
                <w:sz w:val="24"/>
                <w:szCs w:val="24"/>
              </w:rPr>
            </w:pPr>
            <w:r>
              <w:rPr>
                <w:rFonts w:hint="eastAsia" w:ascii="仿宋" w:hAnsi="仿宋" w:eastAsia="仿宋" w:cs="仿宋"/>
                <w:color w:val="auto"/>
                <w:sz w:val="24"/>
                <w:szCs w:val="24"/>
              </w:rPr>
              <w:t>1.整机原装进口，显示器: 不小于6.5英寸,彩色LCD显示，高背光显示，屏幕亮度≥1000cd/m2 ,屏幕有倾斜，便于观察,可显示ECG，SpO2, EtCO2等四通道波形, 支持数字放大，波形冻结。</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420"/>
                <w:tab w:val="left" w:pos="720"/>
              </w:tabs>
              <w:jc w:val="left"/>
              <w:rPr>
                <w:rFonts w:hint="eastAsia" w:ascii="仿宋" w:hAnsi="仿宋" w:eastAsia="仿宋" w:cs="仿宋"/>
                <w:bCs/>
                <w:color w:val="auto"/>
                <w:sz w:val="24"/>
                <w:szCs w:val="24"/>
              </w:rPr>
            </w:pPr>
            <w:r>
              <w:rPr>
                <w:rFonts w:hint="eastAsia" w:ascii="仿宋" w:hAnsi="仿宋" w:eastAsia="仿宋" w:cs="仿宋"/>
                <w:color w:val="auto"/>
                <w:sz w:val="24"/>
                <w:szCs w:val="24"/>
              </w:rPr>
              <w:t>2.▲1秒之内完成开机，最高能量选择，智能自检等三个项目,以最快速度实施除颤。</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spacing w:line="400" w:lineRule="exact"/>
              <w:jc w:val="left"/>
              <w:rPr>
                <w:rFonts w:hint="eastAsia" w:ascii="仿宋" w:hAnsi="仿宋" w:eastAsia="仿宋" w:cs="仿宋"/>
                <w:bCs/>
                <w:color w:val="auto"/>
                <w:sz w:val="24"/>
                <w:szCs w:val="24"/>
              </w:rPr>
            </w:pPr>
            <w:r>
              <w:rPr>
                <w:rFonts w:hint="eastAsia" w:ascii="仿宋" w:hAnsi="仿宋" w:eastAsia="仿宋" w:cs="仿宋"/>
                <w:color w:val="auto"/>
                <w:sz w:val="24"/>
                <w:szCs w:val="24"/>
              </w:rPr>
              <w:t>3.▲除颤电流波形：采用ActiBiphasic双向波技术，采用专业的“T-型回路”技术，主动控制第二相波形，以保持恒定的脉冲宽度，保证除颤效率，最大程度降低患者的心肌损伤程度。</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99"/>
              </w:tabs>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4.手动除颤电极板：标配成人、儿童各一付，可升级做新生儿除颤。</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0"/>
              </w:tabs>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5.标配工作模式：手动除颤，AED自动除颤模式，同步复律，生命体征监护，内部放电，机器智能自检。</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0"/>
              </w:tabs>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6.除颤最大能量: ≤270J, ≥12档能量选择。能量及工作模式选择: 一体旋扭式,快速，直观。</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0"/>
              </w:tabs>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7.▲快速充电：4秒内充电到200J（包括使用交流电时），充电到最大能量≤5秒，充电过程中可在屏幕上显示当前能量值。</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0"/>
              </w:tabs>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8.▲ECG波形恢复时间：除颤放电后，心电波形在3秒内恢复，有利于快速判断当次除颤效果和患者情况，≥35秒不按放电健，除颤仪会自动内部放电。</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0"/>
              </w:tabs>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9.心电导联：标配三导联，可选配5芯或6芯心电导联线。</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0"/>
              </w:tabs>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10.心电共模抑制比：≥100dB。</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0"/>
              </w:tabs>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11.电容：高性能集合式电容，确保性能稳定，电容由数千个独立的小电容组成。当部分高压电容击穿时，余下的电容仍然可提供足够的电量进行除颤。</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420"/>
              </w:tabs>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12.▲可升级主流法呼吸末二氧化碳，既能用于插管病人，又能用于非插管病人，传感器预热时间不超过6秒，传感器重量不超过10g, IPX7防水等级，耐摔，可用于快速确认插管位置和CPR效果，以及在CPR时作为预测患者恢复自主循环（ROSC）的重要指标。呼吸频率计数范围：0到150次/分钟。</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420"/>
              </w:tabs>
              <w:spacing w:line="400" w:lineRule="exact"/>
              <w:ind w:left="4" w:leftChars="-4" w:hanging="12" w:hangingChars="5"/>
              <w:rPr>
                <w:rFonts w:hint="eastAsia" w:ascii="仿宋" w:hAnsi="仿宋" w:eastAsia="仿宋" w:cs="仿宋"/>
                <w:color w:val="auto"/>
                <w:sz w:val="24"/>
                <w:szCs w:val="24"/>
              </w:rPr>
            </w:pPr>
            <w:r>
              <w:rPr>
                <w:rFonts w:hint="eastAsia" w:ascii="仿宋" w:hAnsi="仿宋" w:eastAsia="仿宋" w:cs="仿宋"/>
                <w:color w:val="auto"/>
                <w:sz w:val="24"/>
                <w:szCs w:val="24"/>
              </w:rPr>
              <w:t>13.可升级血氧饱和度：血氧饱和度探头采用平行夹设计，可水洗浸泡消毒。</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420"/>
              </w:tabs>
              <w:spacing w:line="400" w:lineRule="exact"/>
              <w:ind w:left="4" w:leftChars="-4" w:hanging="12" w:hangingChars="5"/>
              <w:rPr>
                <w:rFonts w:hint="eastAsia" w:ascii="仿宋" w:hAnsi="仿宋" w:eastAsia="仿宋" w:cs="仿宋"/>
                <w:color w:val="auto"/>
                <w:sz w:val="24"/>
                <w:szCs w:val="24"/>
              </w:rPr>
            </w:pPr>
            <w:r>
              <w:rPr>
                <w:rFonts w:hint="eastAsia" w:ascii="仿宋" w:hAnsi="仿宋" w:eastAsia="仿宋" w:cs="仿宋"/>
                <w:color w:val="auto"/>
                <w:sz w:val="24"/>
                <w:szCs w:val="24"/>
              </w:rPr>
              <w:t>14.自检指示：带有自检指示灯，关机状态下可每天自动自检，并更新状态灯颜色（绿色代表一切正常，红色代表有异常），清晰指示仪器状态，并自动保存自检结果。</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420"/>
              </w:tabs>
              <w:spacing w:line="400" w:lineRule="exact"/>
              <w:ind w:left="4" w:leftChars="-4" w:hanging="12" w:hangingChars="5"/>
              <w:rPr>
                <w:rFonts w:hint="eastAsia" w:ascii="仿宋" w:hAnsi="仿宋" w:eastAsia="仿宋" w:cs="仿宋"/>
                <w:color w:val="auto"/>
                <w:sz w:val="24"/>
                <w:szCs w:val="24"/>
              </w:rPr>
            </w:pPr>
            <w:r>
              <w:rPr>
                <w:rFonts w:hint="eastAsia" w:ascii="仿宋" w:hAnsi="仿宋" w:eastAsia="仿宋" w:cs="仿宋"/>
                <w:color w:val="auto"/>
                <w:sz w:val="24"/>
                <w:szCs w:val="24"/>
              </w:rPr>
              <w:t xml:space="preserve">15.电池：采用安全性高的环保电池，充满电时间≤3小时，在满电情况下，支持最大能量次数100次。或至少3小时连续监护。  </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420"/>
              </w:tabs>
              <w:spacing w:line="400" w:lineRule="exact"/>
              <w:ind w:left="4" w:leftChars="-4" w:hanging="12" w:hangingChars="5"/>
              <w:rPr>
                <w:rFonts w:hint="eastAsia" w:ascii="仿宋" w:hAnsi="仿宋" w:eastAsia="仿宋" w:cs="仿宋"/>
                <w:color w:val="auto"/>
                <w:sz w:val="24"/>
                <w:szCs w:val="24"/>
              </w:rPr>
            </w:pPr>
            <w:r>
              <w:rPr>
                <w:rFonts w:hint="eastAsia" w:ascii="仿宋" w:hAnsi="仿宋" w:eastAsia="仿宋" w:cs="仿宋"/>
                <w:color w:val="auto"/>
                <w:sz w:val="24"/>
                <w:szCs w:val="24"/>
              </w:rPr>
              <w:t>16.数据存储：可存储≥7天心电图连续波形，可存储周围环境音，可连续存储至少20小时的环境录音信息，或者连续100小时ECG波形；机器可记录不少于60个报警报告，不少于130事件列表报告，≥44个除颤报告（除颤前8秒和除颤后12秒的心电波形），可通过SD卡和蓝牙功能转移除颤器内部数据。</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420"/>
              </w:tabs>
              <w:spacing w:line="400" w:lineRule="exact"/>
              <w:ind w:left="4" w:leftChars="-4" w:hanging="12" w:hangingChars="5"/>
              <w:rPr>
                <w:rFonts w:hint="eastAsia" w:ascii="仿宋" w:hAnsi="仿宋" w:eastAsia="仿宋" w:cs="仿宋"/>
                <w:color w:val="auto"/>
                <w:sz w:val="24"/>
                <w:szCs w:val="24"/>
              </w:rPr>
            </w:pPr>
            <w:r>
              <w:rPr>
                <w:rFonts w:hint="eastAsia" w:ascii="仿宋" w:hAnsi="仿宋" w:eastAsia="仿宋" w:cs="仿宋"/>
                <w:color w:val="auto"/>
                <w:sz w:val="24"/>
                <w:szCs w:val="24"/>
              </w:rPr>
              <w:t>17.通过关于救护车应用的EN1789：2007，Am1：2010标准。安全标准：IEC60601-1（1998），IEC60601-1 Amendment 1（1991），IEC60601-1-2-4（1983）符合电冲击保护类型，交流电：CLASS I EQUIMENT，电池：INTERNALLY POWERED EQUIMENT。</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420"/>
              </w:tabs>
              <w:spacing w:line="400" w:lineRule="exact"/>
              <w:ind w:left="4" w:leftChars="-4" w:hanging="12" w:hangingChars="5"/>
              <w:rPr>
                <w:rFonts w:hint="eastAsia" w:ascii="仿宋" w:hAnsi="仿宋" w:eastAsia="仿宋" w:cs="仿宋"/>
                <w:color w:val="auto"/>
                <w:sz w:val="24"/>
                <w:szCs w:val="24"/>
              </w:rPr>
            </w:pPr>
            <w:r>
              <w:rPr>
                <w:rFonts w:hint="eastAsia" w:ascii="仿宋" w:hAnsi="仿宋" w:eastAsia="仿宋" w:cs="仿宋"/>
                <w:color w:val="auto"/>
                <w:sz w:val="24"/>
                <w:szCs w:val="24"/>
              </w:rPr>
              <w:t>18.防水防尘等级：IP44</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eastAsia="zh-CN"/>
              </w:rPr>
            </w:pPr>
            <w:r>
              <w:rPr>
                <w:rFonts w:hint="eastAsia" w:ascii="仿宋" w:hAnsi="仿宋" w:eastAsia="仿宋" w:cs="仿宋"/>
                <w:bCs/>
                <w:color w:val="auto"/>
                <w:kern w:val="0"/>
                <w:sz w:val="24"/>
                <w:szCs w:val="24"/>
                <w:lang w:val="en-US" w:eastAsia="zh-CN"/>
              </w:rPr>
              <w:t>2</w:t>
            </w:r>
          </w:p>
        </w:tc>
        <w:tc>
          <w:tcPr>
            <w:tcW w:w="1116" w:type="dxa"/>
            <w:shd w:val="clear" w:color="000000" w:fill="FFFFFF"/>
            <w:noWrap/>
            <w:vAlign w:val="center"/>
          </w:tcPr>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配置清单要求（每台）</w:t>
            </w:r>
          </w:p>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tbl>
            <w:tblPr>
              <w:tblStyle w:val="15"/>
              <w:tblW w:w="4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223"/>
              <w:gridCol w:w="713"/>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622" w:type="dxa"/>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2223" w:type="dxa"/>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内容</w:t>
                  </w:r>
                </w:p>
              </w:tc>
              <w:tc>
                <w:tcPr>
                  <w:tcW w:w="713" w:type="dxa"/>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数量</w:t>
                  </w:r>
                </w:p>
              </w:tc>
              <w:tc>
                <w:tcPr>
                  <w:tcW w:w="800" w:type="dxa"/>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trPr>
              <w:tc>
                <w:tcPr>
                  <w:tcW w:w="622" w:type="dxa"/>
                  <w:vAlign w:val="center"/>
                </w:tcPr>
                <w:p>
                  <w:pPr>
                    <w:widowControl/>
                    <w:numPr>
                      <w:ilvl w:val="0"/>
                      <w:numId w:val="0"/>
                    </w:numPr>
                    <w:tabs>
                      <w:tab w:val="left" w:pos="397"/>
                    </w:tabs>
                    <w:ind w:lef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c>
                <w:tcPr>
                  <w:tcW w:w="222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除颤监护仪</w:t>
                  </w:r>
                </w:p>
              </w:tc>
              <w:tc>
                <w:tcPr>
                  <w:tcW w:w="71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800" w:type="dxa"/>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622" w:type="dxa"/>
                  <w:vAlign w:val="center"/>
                </w:tcPr>
                <w:p>
                  <w:pPr>
                    <w:widowControl/>
                    <w:numPr>
                      <w:ilvl w:val="0"/>
                      <w:numId w:val="0"/>
                    </w:numPr>
                    <w:tabs>
                      <w:tab w:val="left" w:pos="397"/>
                    </w:tabs>
                    <w:ind w:lef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c>
                <w:tcPr>
                  <w:tcW w:w="222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ECG中继线</w:t>
                  </w:r>
                </w:p>
              </w:tc>
              <w:tc>
                <w:tcPr>
                  <w:tcW w:w="71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800" w:type="dxa"/>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622" w:type="dxa"/>
                  <w:vAlign w:val="center"/>
                </w:tcPr>
                <w:p>
                  <w:pPr>
                    <w:widowControl/>
                    <w:numPr>
                      <w:ilvl w:val="0"/>
                      <w:numId w:val="0"/>
                    </w:numPr>
                    <w:tabs>
                      <w:tab w:val="left" w:pos="397"/>
                    </w:tabs>
                    <w:ind w:lef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p>
              </w:tc>
              <w:tc>
                <w:tcPr>
                  <w:tcW w:w="222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ECG导联线</w:t>
                  </w:r>
                </w:p>
              </w:tc>
              <w:tc>
                <w:tcPr>
                  <w:tcW w:w="71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800" w:type="dxa"/>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622" w:type="dxa"/>
                  <w:vAlign w:val="center"/>
                </w:tcPr>
                <w:p>
                  <w:pPr>
                    <w:widowControl/>
                    <w:numPr>
                      <w:ilvl w:val="0"/>
                      <w:numId w:val="0"/>
                    </w:numPr>
                    <w:tabs>
                      <w:tab w:val="left" w:pos="397"/>
                    </w:tabs>
                    <w:ind w:lef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w:t>
                  </w:r>
                </w:p>
              </w:tc>
              <w:tc>
                <w:tcPr>
                  <w:tcW w:w="222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可充电电池</w:t>
                  </w:r>
                </w:p>
              </w:tc>
              <w:tc>
                <w:tcPr>
                  <w:tcW w:w="71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800" w:type="dxa"/>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622" w:type="dxa"/>
                  <w:vAlign w:val="center"/>
                </w:tcPr>
                <w:p>
                  <w:pPr>
                    <w:widowControl/>
                    <w:numPr>
                      <w:ilvl w:val="0"/>
                      <w:numId w:val="0"/>
                    </w:numPr>
                    <w:tabs>
                      <w:tab w:val="left" w:pos="397"/>
                    </w:tabs>
                    <w:ind w:lef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c>
                <w:tcPr>
                  <w:tcW w:w="222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记录纸</w:t>
                  </w:r>
                </w:p>
              </w:tc>
              <w:tc>
                <w:tcPr>
                  <w:tcW w:w="71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800" w:type="dxa"/>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622" w:type="dxa"/>
                  <w:vAlign w:val="center"/>
                </w:tcPr>
                <w:p>
                  <w:pPr>
                    <w:widowControl/>
                    <w:numPr>
                      <w:ilvl w:val="0"/>
                      <w:numId w:val="0"/>
                    </w:numPr>
                    <w:tabs>
                      <w:tab w:val="left" w:pos="397"/>
                    </w:tabs>
                    <w:ind w:lef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222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一次性电极板适配线</w:t>
                  </w:r>
                </w:p>
              </w:tc>
              <w:tc>
                <w:tcPr>
                  <w:tcW w:w="71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800" w:type="dxa"/>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622" w:type="dxa"/>
                  <w:vAlign w:val="center"/>
                </w:tcPr>
                <w:p>
                  <w:pPr>
                    <w:widowControl/>
                    <w:numPr>
                      <w:ilvl w:val="0"/>
                      <w:numId w:val="0"/>
                    </w:numPr>
                    <w:tabs>
                      <w:tab w:val="left" w:pos="397"/>
                    </w:tabs>
                    <w:ind w:lef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w:t>
                  </w:r>
                </w:p>
              </w:tc>
              <w:tc>
                <w:tcPr>
                  <w:tcW w:w="222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电源线</w:t>
                  </w:r>
                </w:p>
              </w:tc>
              <w:tc>
                <w:tcPr>
                  <w:tcW w:w="71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800" w:type="dxa"/>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622" w:type="dxa"/>
                  <w:vAlign w:val="center"/>
                </w:tcPr>
                <w:p>
                  <w:pPr>
                    <w:widowControl/>
                    <w:numPr>
                      <w:ilvl w:val="0"/>
                      <w:numId w:val="0"/>
                    </w:numPr>
                    <w:tabs>
                      <w:tab w:val="left" w:pos="397"/>
                    </w:tabs>
                    <w:ind w:lef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w:t>
                  </w:r>
                </w:p>
              </w:tc>
              <w:tc>
                <w:tcPr>
                  <w:tcW w:w="222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说明书</w:t>
                  </w:r>
                </w:p>
              </w:tc>
              <w:tc>
                <w:tcPr>
                  <w:tcW w:w="71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800" w:type="dxa"/>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622" w:type="dxa"/>
                  <w:vAlign w:val="center"/>
                </w:tcPr>
                <w:p>
                  <w:pPr>
                    <w:widowControl/>
                    <w:numPr>
                      <w:ilvl w:val="0"/>
                      <w:numId w:val="0"/>
                    </w:numPr>
                    <w:tabs>
                      <w:tab w:val="left" w:pos="397"/>
                    </w:tabs>
                    <w:ind w:lef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9</w:t>
                  </w:r>
                </w:p>
              </w:tc>
              <w:tc>
                <w:tcPr>
                  <w:tcW w:w="222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导电膏</w:t>
                  </w:r>
                </w:p>
              </w:tc>
              <w:tc>
                <w:tcPr>
                  <w:tcW w:w="71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800" w:type="dxa"/>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622" w:type="dxa"/>
                  <w:vAlign w:val="center"/>
                </w:tcPr>
                <w:p>
                  <w:pPr>
                    <w:widowControl/>
                    <w:numPr>
                      <w:ilvl w:val="0"/>
                      <w:numId w:val="0"/>
                    </w:numPr>
                    <w:tabs>
                      <w:tab w:val="left" w:pos="397"/>
                    </w:tabs>
                    <w:ind w:leftChars="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222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一次性除颤电极片</w:t>
                  </w:r>
                </w:p>
              </w:tc>
              <w:tc>
                <w:tcPr>
                  <w:tcW w:w="71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800" w:type="dxa"/>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622" w:type="dxa"/>
                  <w:vAlign w:val="center"/>
                </w:tcPr>
                <w:p>
                  <w:pPr>
                    <w:widowControl/>
                    <w:numPr>
                      <w:ilvl w:val="0"/>
                      <w:numId w:val="0"/>
                    </w:numPr>
                    <w:tabs>
                      <w:tab w:val="left" w:pos="397"/>
                    </w:tabs>
                    <w:ind w:leftChars="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11</w:t>
                  </w:r>
                </w:p>
              </w:tc>
              <w:tc>
                <w:tcPr>
                  <w:tcW w:w="222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除颤仪治疗车</w:t>
                  </w:r>
                </w:p>
              </w:tc>
              <w:tc>
                <w:tcPr>
                  <w:tcW w:w="713"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800" w:type="dxa"/>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台</w:t>
                  </w:r>
                </w:p>
              </w:tc>
            </w:tr>
          </w:tbl>
          <w:p>
            <w:pPr>
              <w:tabs>
                <w:tab w:val="left" w:pos="420"/>
              </w:tabs>
              <w:spacing w:line="400" w:lineRule="exact"/>
              <w:ind w:left="420"/>
              <w:rPr>
                <w:rFonts w:hint="eastAsia" w:ascii="仿宋" w:hAnsi="仿宋" w:eastAsia="仿宋" w:cs="仿宋"/>
                <w:color w:val="auto"/>
                <w:sz w:val="24"/>
                <w:szCs w:val="24"/>
              </w:rPr>
            </w:pP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bl>
    <w:p>
      <w:pPr>
        <w:spacing w:line="340" w:lineRule="exact"/>
        <w:rPr>
          <w:rFonts w:hint="eastAsia" w:ascii="仿宋" w:hAnsi="仿宋" w:eastAsia="仿宋" w:cs="仿宋"/>
          <w:color w:val="auto"/>
          <w:sz w:val="24"/>
          <w:szCs w:val="24"/>
        </w:rPr>
      </w:pPr>
    </w:p>
    <w:p>
      <w:pPr>
        <w:spacing w:line="340" w:lineRule="exact"/>
        <w:rPr>
          <w:rFonts w:hint="eastAsia" w:ascii="仿宋" w:hAnsi="仿宋" w:eastAsia="仿宋" w:cs="仿宋"/>
          <w:color w:val="auto"/>
          <w:sz w:val="24"/>
          <w:szCs w:val="24"/>
        </w:rPr>
      </w:pPr>
    </w:p>
    <w:p>
      <w:pPr>
        <w:numPr>
          <w:ilvl w:val="0"/>
          <w:numId w:val="8"/>
        </w:numPr>
        <w:tabs>
          <w:tab w:val="left" w:pos="720"/>
        </w:tabs>
        <w:spacing w:line="3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商务要求：</w:t>
      </w:r>
      <w:r>
        <w:rPr>
          <w:rFonts w:hint="eastAsia" w:ascii="仿宋" w:hAnsi="仿宋" w:eastAsia="仿宋" w:cs="仿宋"/>
          <w:color w:val="auto"/>
          <w:sz w:val="24"/>
          <w:szCs w:val="24"/>
        </w:rPr>
        <w:t>（请按用户需求里的商务要求</w:t>
      </w:r>
      <w:r>
        <w:rPr>
          <w:rFonts w:hint="eastAsia" w:ascii="仿宋" w:hAnsi="仿宋" w:eastAsia="仿宋" w:cs="仿宋"/>
          <w:color w:val="auto"/>
          <w:sz w:val="24"/>
          <w:szCs w:val="24"/>
          <w:highlight w:val="yellow"/>
        </w:rPr>
        <w:t>逐条</w:t>
      </w:r>
      <w:r>
        <w:rPr>
          <w:rFonts w:hint="eastAsia" w:ascii="仿宋" w:hAnsi="仿宋" w:eastAsia="仿宋" w:cs="仿宋"/>
          <w:color w:val="auto"/>
          <w:sz w:val="24"/>
          <w:szCs w:val="24"/>
        </w:rPr>
        <w:t>响应）</w:t>
      </w: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108"/>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8"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kern w:val="0"/>
                <w:sz w:val="24"/>
                <w:szCs w:val="24"/>
                <w:lang w:val="zh-CN"/>
              </w:rPr>
              <w:t>序号</w:t>
            </w:r>
          </w:p>
        </w:tc>
        <w:tc>
          <w:tcPr>
            <w:tcW w:w="1108"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kern w:val="0"/>
                <w:sz w:val="24"/>
                <w:szCs w:val="24"/>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kern w:val="0"/>
                <w:sz w:val="24"/>
                <w:szCs w:val="24"/>
                <w:lang w:val="zh-CN"/>
              </w:rPr>
              <w:t>商务要求</w:t>
            </w:r>
          </w:p>
        </w:tc>
        <w:tc>
          <w:tcPr>
            <w:tcW w:w="1072" w:type="dxa"/>
            <w:shd w:val="clear" w:color="000000" w:fill="FFFFFF"/>
            <w:noWrap/>
            <w:vAlign w:val="center"/>
          </w:tcPr>
          <w:p>
            <w:pPr>
              <w:tabs>
                <w:tab w:val="left" w:pos="720"/>
              </w:tabs>
              <w:spacing w:line="44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完全响应或</w:t>
            </w:r>
          </w:p>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sz w:val="24"/>
                <w:szCs w:val="24"/>
              </w:rPr>
              <w:t>正/负偏离</w:t>
            </w:r>
          </w:p>
        </w:tc>
        <w:tc>
          <w:tcPr>
            <w:tcW w:w="1669"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sz w:val="24"/>
                <w:szCs w:val="24"/>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8" w:type="dxa"/>
            <w:vMerge w:val="restart"/>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w:t>
            </w:r>
          </w:p>
        </w:tc>
        <w:tc>
          <w:tcPr>
            <w:tcW w:w="1108" w:type="dxa"/>
            <w:vMerge w:val="restart"/>
            <w:shd w:val="clear" w:color="000000" w:fill="FFFFFF"/>
            <w:noWrap/>
            <w:vAlign w:val="center"/>
          </w:tcPr>
          <w:p>
            <w:pPr>
              <w:spacing w:line="360" w:lineRule="auto"/>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交货期及安装要求</w:t>
            </w:r>
          </w:p>
          <w:p>
            <w:pPr>
              <w:autoSpaceDE w:val="0"/>
              <w:autoSpaceDN w:val="0"/>
              <w:adjustRightInd w:val="0"/>
              <w:spacing w:line="440" w:lineRule="exact"/>
              <w:jc w:val="center"/>
              <w:rPr>
                <w:rFonts w:hint="eastAsia" w:ascii="仿宋" w:hAnsi="仿宋" w:eastAsia="仿宋" w:cs="仿宋"/>
                <w:bCs/>
                <w:color w:val="auto"/>
                <w:kern w:val="0"/>
                <w:sz w:val="24"/>
                <w:szCs w:val="24"/>
              </w:rPr>
            </w:pPr>
          </w:p>
        </w:tc>
        <w:tc>
          <w:tcPr>
            <w:tcW w:w="4638" w:type="dxa"/>
            <w:shd w:val="clear" w:color="000000" w:fill="FFFFFF"/>
            <w:noWrap/>
            <w:vAlign w:val="center"/>
          </w:tcPr>
          <w:p>
            <w:pPr>
              <w:numPr>
                <w:ilvl w:val="0"/>
                <w:numId w:val="0"/>
              </w:numPr>
              <w:spacing w:line="360" w:lineRule="auto"/>
              <w:ind w:leftChars="0"/>
              <w:rPr>
                <w:rFonts w:hint="eastAsia" w:ascii="仿宋" w:hAnsi="仿宋" w:eastAsia="仿宋" w:cs="仿宋"/>
                <w:bCs/>
                <w:color w:val="auto"/>
                <w:kern w:val="0"/>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交货地点：中山市小榄人民医院，设备到达采购人指定科室。</w:t>
            </w:r>
          </w:p>
        </w:tc>
        <w:tc>
          <w:tcPr>
            <w:tcW w:w="1072" w:type="dxa"/>
            <w:shd w:val="clear" w:color="000000" w:fill="FFFFFF"/>
            <w:noWrap/>
            <w:vAlign w:val="center"/>
          </w:tcPr>
          <w:p>
            <w:pPr>
              <w:autoSpaceDE w:val="0"/>
              <w:autoSpaceDN w:val="0"/>
              <w:adjustRightInd w:val="0"/>
              <w:spacing w:line="440" w:lineRule="exact"/>
              <w:jc w:val="both"/>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78"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rPr>
            </w:pPr>
          </w:p>
        </w:tc>
        <w:tc>
          <w:tcPr>
            <w:tcW w:w="1108"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rPr>
            </w:pPr>
          </w:p>
        </w:tc>
        <w:tc>
          <w:tcPr>
            <w:tcW w:w="4638" w:type="dxa"/>
            <w:tcBorders>
              <w:bottom w:val="single" w:color="auto" w:sz="4" w:space="0"/>
            </w:tcBorders>
            <w:shd w:val="clear" w:color="000000" w:fill="FFFFFF"/>
            <w:noWrap/>
            <w:vAlign w:val="center"/>
          </w:tcPr>
          <w:p>
            <w:pPr>
              <w:numPr>
                <w:ilvl w:val="0"/>
                <w:numId w:val="0"/>
              </w:numPr>
              <w:spacing w:line="360" w:lineRule="auto"/>
              <w:ind w:leftChars="0"/>
              <w:rPr>
                <w:rFonts w:hint="eastAsia" w:ascii="仿宋" w:hAnsi="仿宋" w:eastAsia="仿宋" w:cs="仿宋"/>
                <w:bCs/>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交货期：自中标通知书发出之日起30日内凭中标通知书签订合同，签订合同后</w:t>
            </w:r>
            <w:r>
              <w:rPr>
                <w:rFonts w:hint="eastAsia" w:ascii="仿宋" w:hAnsi="仿宋" w:eastAsia="仿宋" w:cs="仿宋"/>
                <w:color w:val="auto"/>
                <w:sz w:val="24"/>
                <w:szCs w:val="24"/>
                <w:u w:val="single"/>
              </w:rPr>
              <w:t>30</w:t>
            </w:r>
            <w:r>
              <w:rPr>
                <w:rFonts w:hint="eastAsia" w:ascii="仿宋" w:hAnsi="仿宋" w:eastAsia="仿宋" w:cs="仿宋"/>
                <w:color w:val="auto"/>
                <w:sz w:val="24"/>
                <w:szCs w:val="24"/>
              </w:rPr>
              <w:t>日内完成供货安装调试。</w:t>
            </w:r>
          </w:p>
        </w:tc>
        <w:tc>
          <w:tcPr>
            <w:tcW w:w="1072" w:type="dxa"/>
            <w:tcBorders>
              <w:bottom w:val="single" w:color="auto" w:sz="4" w:space="0"/>
            </w:tcBorders>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rPr>
            </w:pPr>
          </w:p>
        </w:tc>
        <w:tc>
          <w:tcPr>
            <w:tcW w:w="1669" w:type="dxa"/>
            <w:tcBorders>
              <w:bottom w:val="single" w:color="auto" w:sz="4" w:space="0"/>
            </w:tcBorders>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8"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08" w:type="dxa"/>
            <w:vMerge w:val="continue"/>
            <w:shd w:val="clear" w:color="000000" w:fill="FFFFFF"/>
            <w:noWrap/>
            <w:vAlign w:val="center"/>
          </w:tcPr>
          <w:p>
            <w:pPr>
              <w:widowControl/>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numPr>
                <w:ilvl w:val="0"/>
                <w:numId w:val="0"/>
              </w:numPr>
              <w:spacing w:line="360" w:lineRule="auto"/>
              <w:ind w:leftChars="0"/>
              <w:rPr>
                <w:rFonts w:hint="eastAsia" w:ascii="仿宋" w:hAnsi="仿宋" w:eastAsia="仿宋" w:cs="仿宋"/>
                <w:bCs/>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中标人保证提供的设备必须是全新产品，没有使用过。</w:t>
            </w:r>
          </w:p>
        </w:tc>
        <w:tc>
          <w:tcPr>
            <w:tcW w:w="1072" w:type="dxa"/>
            <w:shd w:val="clear" w:color="000000" w:fill="FFFFFF"/>
            <w:noWrap/>
            <w:vAlign w:val="center"/>
          </w:tcPr>
          <w:p>
            <w:pPr>
              <w:widowControl/>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8"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08" w:type="dxa"/>
            <w:vMerge w:val="continue"/>
            <w:shd w:val="clear" w:color="000000" w:fill="FFFFFF"/>
            <w:noWrap/>
            <w:vAlign w:val="center"/>
          </w:tcPr>
          <w:p>
            <w:pPr>
              <w:widowControl/>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numPr>
                <w:ilvl w:val="0"/>
                <w:numId w:val="0"/>
              </w:numPr>
              <w:spacing w:line="360" w:lineRule="auto"/>
              <w:ind w:leftChars="0"/>
              <w:rPr>
                <w:rFonts w:hint="eastAsia" w:ascii="仿宋" w:hAnsi="仿宋" w:eastAsia="仿宋" w:cs="仿宋"/>
                <w:bCs/>
                <w:color w:val="auto"/>
                <w:sz w:val="24"/>
                <w:szCs w:val="24"/>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中标人负责派技术人员到现场进行安装调试，直至验收合格，安装调试所需费用应包含在投标总报价内；同时提供培训服务，必须保证需求科室操作人员融会贯通，培训所需费用应包含在总报价内。</w:t>
            </w:r>
          </w:p>
        </w:tc>
        <w:tc>
          <w:tcPr>
            <w:tcW w:w="1072" w:type="dxa"/>
            <w:shd w:val="clear" w:color="000000" w:fill="FFFFFF"/>
            <w:noWrap/>
            <w:vAlign w:val="center"/>
          </w:tcPr>
          <w:p>
            <w:pPr>
              <w:widowControl/>
              <w:spacing w:line="440" w:lineRule="exact"/>
              <w:jc w:val="both"/>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8"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08" w:type="dxa"/>
            <w:vMerge w:val="continue"/>
            <w:shd w:val="clear" w:color="000000" w:fill="FFFFFF"/>
            <w:noWrap/>
            <w:vAlign w:val="center"/>
          </w:tcPr>
          <w:p>
            <w:pPr>
              <w:widowControl/>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numPr>
                <w:ilvl w:val="0"/>
                <w:numId w:val="0"/>
              </w:numPr>
              <w:spacing w:line="360" w:lineRule="auto"/>
              <w:ind w:left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验收方式:按《小榄镇镇属医院医疗项目采购和验收管理规定》</w:t>
            </w:r>
          </w:p>
        </w:tc>
        <w:tc>
          <w:tcPr>
            <w:tcW w:w="1072" w:type="dxa"/>
            <w:shd w:val="clear" w:color="000000" w:fill="FFFFFF"/>
            <w:noWrap/>
            <w:vAlign w:val="center"/>
          </w:tcPr>
          <w:p>
            <w:pPr>
              <w:widowControl/>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8"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08" w:type="dxa"/>
            <w:vMerge w:val="continue"/>
            <w:shd w:val="clear" w:color="000000" w:fill="FFFFFF"/>
            <w:noWrap/>
            <w:vAlign w:val="center"/>
          </w:tcPr>
          <w:p>
            <w:pPr>
              <w:widowControl/>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★1.6投标供应商须要在投标文件做出具承诺函，该承诺函包括但不限于以下内容:</w:t>
            </w:r>
          </w:p>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承诺中标后须在中标公告发布之日起五个工作日内提供设备制造厂商开具并盖章的合法有效的授权函原件（盖鲜章）、售后服务承诺函原件（盖鲜章）。</w:t>
            </w:r>
          </w:p>
        </w:tc>
        <w:tc>
          <w:tcPr>
            <w:tcW w:w="1072" w:type="dxa"/>
            <w:shd w:val="clear" w:color="000000" w:fill="FFFFFF"/>
            <w:noWrap/>
            <w:vAlign w:val="center"/>
          </w:tcPr>
          <w:p>
            <w:pPr>
              <w:widowControl/>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8" w:type="dxa"/>
            <w:vMerge w:val="restart"/>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kern w:val="0"/>
                <w:sz w:val="24"/>
                <w:szCs w:val="24"/>
                <w:lang w:val="zh-CN"/>
              </w:rPr>
              <w:t>2</w:t>
            </w:r>
          </w:p>
        </w:tc>
        <w:tc>
          <w:tcPr>
            <w:tcW w:w="1108" w:type="dxa"/>
            <w:vMerge w:val="restart"/>
            <w:shd w:val="clear" w:color="000000" w:fill="FFFFFF"/>
            <w:noWrap/>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保修期及售后服务要求</w:t>
            </w:r>
          </w:p>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2.1</w:t>
            </w:r>
            <w:r>
              <w:rPr>
                <w:rFonts w:hint="eastAsia" w:ascii="仿宋" w:hAnsi="仿宋" w:eastAsia="仿宋" w:cs="仿宋"/>
                <w:color w:val="auto"/>
                <w:kern w:val="0"/>
                <w:sz w:val="24"/>
                <w:szCs w:val="24"/>
              </w:rPr>
              <w:t>中标人必须在</w:t>
            </w:r>
            <w:r>
              <w:rPr>
                <w:rFonts w:hint="eastAsia" w:ascii="仿宋" w:hAnsi="仿宋" w:eastAsia="仿宋" w:cs="仿宋"/>
                <w:color w:val="auto"/>
                <w:kern w:val="0"/>
                <w:sz w:val="24"/>
                <w:szCs w:val="24"/>
                <w:u w:val="single"/>
              </w:rPr>
              <w:t>中国境内</w:t>
            </w:r>
            <w:r>
              <w:rPr>
                <w:rFonts w:hint="eastAsia" w:ascii="仿宋" w:hAnsi="仿宋" w:eastAsia="仿宋" w:cs="仿宋"/>
                <w:color w:val="auto"/>
                <w:kern w:val="0"/>
                <w:sz w:val="24"/>
                <w:szCs w:val="24"/>
              </w:rPr>
              <w:t>有售后服务机构，并附有售后服务能力说明</w:t>
            </w:r>
            <w:r>
              <w:rPr>
                <w:rFonts w:hint="eastAsia" w:ascii="仿宋" w:hAnsi="仿宋" w:eastAsia="仿宋" w:cs="仿宋"/>
                <w:color w:val="auto"/>
                <w:sz w:val="24"/>
                <w:szCs w:val="24"/>
              </w:rPr>
              <w:t>。</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8"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08"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设备免费保修期至少为</w:t>
            </w:r>
            <w:r>
              <w:rPr>
                <w:rFonts w:hint="eastAsia" w:ascii="仿宋" w:hAnsi="仿宋" w:eastAsia="仿宋" w:cs="仿宋"/>
                <w:color w:val="auto"/>
                <w:sz w:val="24"/>
                <w:szCs w:val="24"/>
                <w:u w:val="single"/>
              </w:rPr>
              <w:t>2</w:t>
            </w:r>
            <w:r>
              <w:rPr>
                <w:rFonts w:hint="eastAsia" w:ascii="仿宋" w:hAnsi="仿宋" w:eastAsia="仿宋" w:cs="仿宋"/>
                <w:color w:val="auto"/>
                <w:sz w:val="24"/>
                <w:szCs w:val="24"/>
              </w:rPr>
              <w:t>年，在售后期内, 中标人在接到用户的维修（因质量问题）通知, 响应时间为半小时，工程师到达现场时间为24小时，排除故障时限为到达现场后8小时。</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78"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p>
        </w:tc>
        <w:tc>
          <w:tcPr>
            <w:tcW w:w="1108"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tabs>
                <w:tab w:val="left" w:pos="420"/>
                <w:tab w:val="left" w:pos="720"/>
              </w:tabs>
              <w:spacing w:line="360" w:lineRule="auto"/>
              <w:jc w:val="left"/>
              <w:rPr>
                <w:rFonts w:hint="eastAsia" w:ascii="仿宋" w:hAnsi="仿宋" w:eastAsia="仿宋" w:cs="仿宋"/>
                <w:bCs/>
                <w:color w:val="auto"/>
                <w:sz w:val="24"/>
                <w:szCs w:val="24"/>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如果产品故障在检修12小时后仍无法排除，中标人应在24小时内提供不低于故障产品规格型号档次的备用产品供采购人使用，直至故障产品修复。</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8"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lang w:val="zh-CN"/>
              </w:rPr>
            </w:pPr>
            <w:r>
              <w:rPr>
                <w:rFonts w:hint="eastAsia" w:ascii="仿宋" w:hAnsi="仿宋" w:eastAsia="仿宋" w:cs="仿宋"/>
                <w:bCs/>
                <w:color w:val="auto"/>
                <w:kern w:val="0"/>
                <w:sz w:val="24"/>
                <w:szCs w:val="24"/>
                <w:lang w:val="zh-CN"/>
              </w:rPr>
              <w:t>3</w:t>
            </w:r>
          </w:p>
        </w:tc>
        <w:tc>
          <w:tcPr>
            <w:tcW w:w="1108" w:type="dxa"/>
            <w:shd w:val="clear" w:color="000000" w:fill="FFFFFF"/>
            <w:noWrap/>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付款方式</w:t>
            </w:r>
          </w:p>
          <w:p>
            <w:pPr>
              <w:snapToGrid w:val="0"/>
              <w:spacing w:line="440" w:lineRule="exact"/>
              <w:jc w:val="center"/>
              <w:rPr>
                <w:rFonts w:hint="eastAsia" w:ascii="仿宋" w:hAnsi="仿宋" w:eastAsia="仿宋" w:cs="仿宋"/>
                <w:bCs/>
                <w:color w:val="auto"/>
                <w:sz w:val="24"/>
                <w:szCs w:val="24"/>
              </w:rPr>
            </w:pPr>
          </w:p>
        </w:tc>
        <w:tc>
          <w:tcPr>
            <w:tcW w:w="4638" w:type="dxa"/>
            <w:shd w:val="clear" w:color="000000" w:fill="FFFFFF"/>
            <w:noWrap/>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★3.1本合同的每笔款项以人民币转账方式支付，合同设备到采购人指定地点交付并完成安装，验收合格后，中标单位凭：</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（1）合同；</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（2）验收调试合格报告（加盖采购人公章）；</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（3）中标供应商开具的正式发票（加盖发票专用章）。</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3.2具体付款方式：合同签订后，采购人预付合同总金额的20%款项，同时中标供应商须提供相同金额的收款收据；中标供应商按合同协议时间提供设备，并经协议规定的验收机构书面确认验收合格后，开具全额发票，采购人确认发票无误后30日内支付合同总金额的75%；合同总金额的5%在质保期满后一次性无息退还。</w:t>
            </w:r>
          </w:p>
        </w:tc>
        <w:tc>
          <w:tcPr>
            <w:tcW w:w="1072" w:type="dxa"/>
            <w:shd w:val="clear" w:color="000000" w:fill="FFFFFF"/>
            <w:noWrap/>
            <w:vAlign w:val="center"/>
          </w:tcPr>
          <w:p>
            <w:pPr>
              <w:spacing w:line="440" w:lineRule="exact"/>
              <w:jc w:val="center"/>
              <w:rPr>
                <w:rFonts w:hint="eastAsia" w:ascii="仿宋" w:hAnsi="仿宋" w:eastAsia="仿宋" w:cs="仿宋"/>
                <w:bCs/>
                <w:color w:val="auto"/>
                <w:sz w:val="24"/>
                <w:szCs w:val="24"/>
              </w:rPr>
            </w:pPr>
          </w:p>
        </w:tc>
        <w:tc>
          <w:tcPr>
            <w:tcW w:w="1669" w:type="dxa"/>
            <w:shd w:val="clear" w:color="000000" w:fill="FFFFFF"/>
            <w:noWrap/>
            <w:vAlign w:val="center"/>
          </w:tcPr>
          <w:p>
            <w:pPr>
              <w:widowControl/>
              <w:spacing w:line="440" w:lineRule="exact"/>
              <w:rPr>
                <w:rFonts w:hint="eastAsia" w:ascii="仿宋" w:hAnsi="仿宋" w:eastAsia="仿宋" w:cs="仿宋"/>
                <w:bCs/>
                <w:color w:val="auto"/>
                <w:sz w:val="24"/>
                <w:szCs w:val="24"/>
              </w:rPr>
            </w:pPr>
          </w:p>
        </w:tc>
      </w:tr>
    </w:tbl>
    <w:p>
      <w:pPr>
        <w:tabs>
          <w:tab w:val="left" w:pos="720"/>
        </w:tabs>
        <w:spacing w:line="340" w:lineRule="exact"/>
        <w:jc w:val="left"/>
        <w:rPr>
          <w:rFonts w:hint="eastAsia" w:ascii="仿宋" w:hAnsi="仿宋" w:eastAsia="仿宋" w:cs="仿宋"/>
          <w:b/>
          <w:bCs/>
          <w:color w:val="auto"/>
          <w:sz w:val="24"/>
          <w:szCs w:val="24"/>
        </w:rPr>
      </w:pPr>
    </w:p>
    <w:p>
      <w:pPr>
        <w:spacing w:line="440" w:lineRule="exact"/>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5"/>
        <w:rPr>
          <w:rFonts w:hint="eastAsia"/>
          <w:color w:val="auto"/>
        </w:rPr>
      </w:pPr>
    </w:p>
    <w:p>
      <w:pPr>
        <w:pStyle w:val="6"/>
        <w:rPr>
          <w:rFonts w:hint="eastAsia"/>
          <w:color w:val="auto"/>
        </w:rPr>
      </w:pPr>
    </w:p>
    <w:p>
      <w:pPr>
        <w:rPr>
          <w:rFonts w:hint="eastAsia"/>
          <w:color w:val="auto"/>
        </w:rPr>
      </w:pPr>
    </w:p>
    <w:p>
      <w:pPr>
        <w:pStyle w:val="5"/>
        <w:rPr>
          <w:rFonts w:hint="eastAsia"/>
          <w:color w:val="auto"/>
        </w:rPr>
      </w:pPr>
    </w:p>
    <w:p>
      <w:pPr>
        <w:pStyle w:val="6"/>
        <w:rPr>
          <w:rFonts w:hint="eastAsia"/>
          <w:color w:val="auto"/>
        </w:rPr>
      </w:pPr>
    </w:p>
    <w:p>
      <w:pPr>
        <w:rPr>
          <w:rFonts w:hint="eastAsia"/>
          <w:color w:val="auto"/>
        </w:rPr>
      </w:pPr>
    </w:p>
    <w:p>
      <w:pPr>
        <w:pStyle w:val="6"/>
        <w:ind w:left="0" w:leftChars="0" w:firstLine="0" w:firstLineChars="0"/>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ind w:left="0" w:leftChars="0" w:firstLine="0" w:firstLineChars="0"/>
        <w:rPr>
          <w:rFonts w:hint="eastAsia"/>
          <w:color w:val="auto"/>
        </w:rPr>
      </w:pPr>
    </w:p>
    <w:p>
      <w:pPr>
        <w:pStyle w:val="2"/>
        <w:rPr>
          <w:rFonts w:hint="eastAsia"/>
          <w:color w:val="auto"/>
        </w:rPr>
      </w:pPr>
    </w:p>
    <w:p>
      <w:pPr>
        <w:pStyle w:val="2"/>
        <w:ind w:left="0" w:leftChars="0" w:firstLine="0" w:firstLineChars="0"/>
        <w:rPr>
          <w:rFonts w:hint="eastAsia"/>
          <w:color w:val="auto"/>
        </w:rPr>
      </w:pPr>
    </w:p>
    <w:p>
      <w:pPr>
        <w:spacing w:line="480" w:lineRule="exact"/>
        <w:jc w:val="center"/>
        <w:rPr>
          <w:rFonts w:ascii="宋体" w:hAnsi="宋体"/>
          <w:b/>
          <w:color w:val="auto"/>
          <w:sz w:val="28"/>
          <w:szCs w:val="28"/>
        </w:rPr>
      </w:pPr>
      <w:r>
        <w:rPr>
          <w:rFonts w:hint="eastAsia" w:ascii="宋体" w:hAnsi="宋体"/>
          <w:b/>
          <w:color w:val="auto"/>
          <w:sz w:val="28"/>
          <w:szCs w:val="28"/>
        </w:rPr>
        <w:t>法定代表人证明书</w:t>
      </w:r>
    </w:p>
    <w:p>
      <w:pPr>
        <w:spacing w:line="480" w:lineRule="exact"/>
        <w:rPr>
          <w:rFonts w:ascii="宋体" w:hAnsi="宋体"/>
          <w:color w:val="auto"/>
          <w:sz w:val="24"/>
        </w:rPr>
      </w:pPr>
    </w:p>
    <w:p>
      <w:pPr>
        <w:spacing w:line="480" w:lineRule="exact"/>
        <w:ind w:firstLine="470" w:firstLineChars="196"/>
        <w:rPr>
          <w:rFonts w:ascii="宋体" w:hAnsi="宋体"/>
          <w:color w:val="auto"/>
          <w:sz w:val="24"/>
        </w:rPr>
      </w:pPr>
    </w:p>
    <w:p>
      <w:pPr>
        <w:spacing w:line="480" w:lineRule="exact"/>
        <w:ind w:firstLine="468" w:firstLineChars="195"/>
        <w:rPr>
          <w:rFonts w:ascii="宋体" w:hAnsi="宋体"/>
          <w:color w:val="auto"/>
          <w:sz w:val="24"/>
        </w:rPr>
      </w:pPr>
      <w:r>
        <w:rPr>
          <w:rFonts w:hint="eastAsia" w:ascii="宋体" w:hAnsi="宋体"/>
          <w:color w:val="auto"/>
          <w:sz w:val="24"/>
        </w:rPr>
        <w:t xml:space="preserve">姓名：      </w:t>
      </w:r>
      <w:r>
        <w:rPr>
          <w:rFonts w:hint="eastAsia" w:ascii="宋体" w:hAnsi="宋体"/>
          <w:color w:val="auto"/>
          <w:sz w:val="24"/>
          <w:lang w:val="en-US" w:eastAsia="zh-CN"/>
        </w:rPr>
        <w:t xml:space="preserve">        </w:t>
      </w:r>
      <w:r>
        <w:rPr>
          <w:rFonts w:hint="eastAsia" w:ascii="宋体" w:hAnsi="宋体"/>
          <w:color w:val="auto"/>
          <w:sz w:val="24"/>
        </w:rPr>
        <w:t xml:space="preserve"> 性别：       </w:t>
      </w:r>
      <w:r>
        <w:rPr>
          <w:rFonts w:hint="eastAsia" w:ascii="宋体" w:hAnsi="宋体"/>
          <w:color w:val="auto"/>
          <w:sz w:val="24"/>
          <w:lang w:val="en-US" w:eastAsia="zh-CN"/>
        </w:rPr>
        <w:t xml:space="preserve">      </w:t>
      </w:r>
      <w:r>
        <w:rPr>
          <w:rFonts w:hint="eastAsia" w:ascii="宋体" w:hAnsi="宋体"/>
          <w:color w:val="auto"/>
          <w:sz w:val="24"/>
        </w:rPr>
        <w:t xml:space="preserve"> 年龄： </w:t>
      </w:r>
    </w:p>
    <w:p>
      <w:pPr>
        <w:spacing w:line="480" w:lineRule="exact"/>
        <w:ind w:firstLine="468" w:firstLineChars="195"/>
        <w:rPr>
          <w:rFonts w:ascii="宋体" w:hAnsi="宋体"/>
          <w:color w:val="auto"/>
          <w:sz w:val="24"/>
          <w:u w:val="single"/>
        </w:rPr>
      </w:pPr>
      <w:r>
        <w:rPr>
          <w:rFonts w:hint="eastAsia" w:ascii="宋体" w:hAnsi="宋体"/>
          <w:color w:val="auto"/>
          <w:sz w:val="24"/>
        </w:rPr>
        <w:t>身份证号码：</w:t>
      </w:r>
      <w:r>
        <w:rPr>
          <w:rFonts w:hint="eastAsia" w:ascii="宋体" w:hAnsi="宋体"/>
          <w:color w:val="auto"/>
          <w:sz w:val="24"/>
          <w:lang w:val="en-US" w:eastAsia="zh-CN"/>
        </w:rPr>
        <w:t xml:space="preserve">                           </w:t>
      </w:r>
      <w:r>
        <w:rPr>
          <w:rFonts w:hint="eastAsia" w:ascii="宋体" w:hAnsi="宋体"/>
          <w:color w:val="auto"/>
          <w:sz w:val="24"/>
        </w:rPr>
        <w:t xml:space="preserve">  职务：</w:t>
      </w:r>
    </w:p>
    <w:p>
      <w:pPr>
        <w:spacing w:line="480" w:lineRule="exact"/>
        <w:rPr>
          <w:rFonts w:ascii="宋体" w:hAnsi="宋体"/>
          <w:color w:val="auto"/>
          <w:sz w:val="24"/>
        </w:rPr>
      </w:pPr>
    </w:p>
    <w:p>
      <w:pPr>
        <w:spacing w:line="480" w:lineRule="exact"/>
        <w:ind w:firstLine="470" w:firstLineChars="196"/>
        <w:rPr>
          <w:rFonts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的法定代表人。</w:t>
      </w:r>
    </w:p>
    <w:p>
      <w:pPr>
        <w:spacing w:line="480" w:lineRule="exact"/>
        <w:rPr>
          <w:rFonts w:ascii="宋体" w:hAnsi="宋体"/>
          <w:color w:val="auto"/>
          <w:sz w:val="24"/>
        </w:rPr>
      </w:pPr>
    </w:p>
    <w:p>
      <w:pPr>
        <w:spacing w:line="480" w:lineRule="exact"/>
        <w:ind w:firstLine="955" w:firstLineChars="398"/>
        <w:rPr>
          <w:rFonts w:ascii="宋体" w:hAnsi="宋体"/>
          <w:color w:val="auto"/>
          <w:sz w:val="24"/>
        </w:rPr>
      </w:pPr>
      <w:r>
        <w:rPr>
          <w:rFonts w:hint="eastAsia" w:ascii="宋体" w:hAnsi="宋体"/>
          <w:color w:val="auto"/>
          <w:sz w:val="24"/>
        </w:rPr>
        <w:t xml:space="preserve"> 特此证明！</w:t>
      </w:r>
    </w:p>
    <w:p>
      <w:pPr>
        <w:spacing w:line="480" w:lineRule="exact"/>
        <w:rPr>
          <w:rFonts w:ascii="宋体" w:hAnsi="宋体"/>
          <w:color w:val="auto"/>
          <w:sz w:val="24"/>
        </w:rPr>
      </w:pPr>
    </w:p>
    <w:p>
      <w:pPr>
        <w:spacing w:line="480" w:lineRule="exact"/>
        <w:rPr>
          <w:rFonts w:ascii="宋体" w:hAnsi="宋体"/>
          <w:color w:val="auto"/>
          <w:sz w:val="24"/>
        </w:rPr>
      </w:pPr>
    </w:p>
    <w:p>
      <w:pPr>
        <w:spacing w:line="480" w:lineRule="exact"/>
        <w:jc w:val="center"/>
        <w:rPr>
          <w:rFonts w:ascii="宋体" w:hAnsi="宋体"/>
          <w:color w:val="auto"/>
          <w:sz w:val="24"/>
        </w:rPr>
      </w:pPr>
      <w:r>
        <w:rPr>
          <w:rFonts w:hint="eastAsia" w:ascii="宋体" w:hAnsi="宋体"/>
          <w:color w:val="auto"/>
          <w:sz w:val="24"/>
        </w:rPr>
        <w:t>单位（盖章）：</w:t>
      </w:r>
    </w:p>
    <w:p>
      <w:pPr>
        <w:spacing w:line="480" w:lineRule="exact"/>
        <w:rPr>
          <w:rFonts w:ascii="宋体" w:hAnsi="宋体"/>
          <w:color w:val="auto"/>
          <w:sz w:val="24"/>
        </w:rPr>
      </w:pPr>
      <w:r>
        <w:rPr>
          <w:rFonts w:hint="eastAsia" w:ascii="宋体" w:hAnsi="宋体"/>
          <w:color w:val="auto"/>
          <w:sz w:val="24"/>
        </w:rPr>
        <w:t xml:space="preserve">                          日期：</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w:t>
      </w:r>
    </w:p>
    <w:p>
      <w:pPr>
        <w:spacing w:line="480" w:lineRule="exact"/>
        <w:rPr>
          <w:rFonts w:hint="eastAsia" w:ascii="宋体" w:hAnsi="宋体" w:eastAsia="宋体" w:cs="宋体"/>
          <w:b w:val="0"/>
          <w:bCs w:val="0"/>
          <w:i w:val="0"/>
          <w:iCs w:val="0"/>
          <w:color w:val="auto"/>
          <w:sz w:val="21"/>
          <w:szCs w:val="21"/>
          <w:highlight w:val="none"/>
          <w:u w:val="none"/>
          <w:lang w:eastAsia="zh-CN"/>
        </w:rPr>
      </w:pPr>
      <w:r>
        <w:rPr>
          <w:rFonts w:ascii="宋体" w:hAnsi="宋体" w:cs="宋体"/>
          <w:b w:val="0"/>
          <w:bCs w:val="0"/>
          <w:i w:val="0"/>
          <w:iCs w:val="0"/>
          <w:color w:val="auto"/>
          <w:sz w:val="21"/>
          <w:szCs w:val="21"/>
          <w:highlight w:val="none"/>
          <w:u w:val="none"/>
        </w:rPr>
        <mc:AlternateContent>
          <mc:Choice Requires="wps">
            <w:drawing>
              <wp:anchor distT="0" distB="0" distL="114935" distR="114935" simplePos="0" relativeHeight="251660288" behindDoc="0" locked="0" layoutInCell="1" allowOverlap="1">
                <wp:simplePos x="0" y="0"/>
                <wp:positionH relativeFrom="column">
                  <wp:posOffset>-12700</wp:posOffset>
                </wp:positionH>
                <wp:positionV relativeFrom="paragraph">
                  <wp:posOffset>518795</wp:posOffset>
                </wp:positionV>
                <wp:extent cx="5434965" cy="2601595"/>
                <wp:effectExtent l="4445" t="4445" r="8890" b="22860"/>
                <wp:wrapSquare wrapText="bothSides"/>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5434965" cy="2601595"/>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pt;margin-top:40.85pt;height:204.85pt;width:427.95pt;mso-wrap-distance-bottom:0pt;mso-wrap-distance-left:9.05pt;mso-wrap-distance-right:9.05pt;mso-wrap-distance-top:0pt;z-index:251660288;mso-width-relative:page;mso-height-relative:page;" fillcolor="#FFFFFF" filled="t" stroked="t" coordsize="21600,21600" o:gfxdata="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2+vZ2AAAAAkBAAAPAAAAAAAAAAEAIAAAACIAAABkcnMvZG93bnJldi54bWxQSwEC&#10;FAAUAAAACACHTuJAH4EtKGYCAACs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v:textbox>
                <w10:wrap type="square"/>
              </v:shape>
            </w:pict>
          </mc:Fallback>
        </mc:AlternateContent>
      </w:r>
    </w:p>
    <w:p>
      <w:pPr>
        <w:pStyle w:val="2"/>
        <w:rPr>
          <w:rFonts w:hint="eastAsia"/>
          <w:color w:val="auto"/>
          <w:lang w:eastAsia="zh-CN"/>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right="0"/>
        <w:jc w:val="both"/>
        <w:rPr>
          <w:rFonts w:hint="eastAsia"/>
          <w:color w:val="auto"/>
        </w:rPr>
      </w:pPr>
      <w:r>
        <w:rPr>
          <w:rFonts w:hint="eastAsia" w:ascii="宋体" w:hAnsi="宋体"/>
          <w:color w:val="auto"/>
          <w:sz w:val="24"/>
        </w:rPr>
        <w:t xml:space="preserve">   </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5"/>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4"/>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color w:val="auto"/>
          <w:lang w:eastAsia="zh-CN"/>
        </w:rPr>
      </w:pPr>
      <w:r>
        <w:rPr>
          <w:rFonts w:hint="eastAsia" w:ascii="宋体" w:hAnsi="宋体" w:eastAsia="宋体" w:cs="宋体"/>
          <w:color w:val="auto"/>
        </w:rPr>
        <w:t>无围标、串标行为</w:t>
      </w:r>
      <w:r>
        <w:rPr>
          <w:rFonts w:hint="eastAsia" w:ascii="宋体" w:hAnsi="宋体" w:eastAsia="宋体" w:cs="宋体"/>
          <w:color w:val="auto"/>
          <w:lang w:eastAsia="zh-CN"/>
        </w:rPr>
        <w:t>声明函</w:t>
      </w:r>
    </w:p>
    <w:p>
      <w:pPr>
        <w:rPr>
          <w:rFonts w:hint="eastAsia" w:ascii="宋体" w:hAnsi="宋体" w:eastAsia="宋体" w:cs="宋体"/>
          <w:color w:val="auto"/>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本公司郑重</w:t>
      </w:r>
      <w:r>
        <w:rPr>
          <w:rFonts w:hint="eastAsia" w:ascii="宋体" w:hAnsi="宋体" w:eastAsia="宋体" w:cs="宋体"/>
          <w:color w:val="auto"/>
          <w:sz w:val="24"/>
          <w:lang w:eastAsia="zh-CN"/>
        </w:rPr>
        <w:t>声明</w:t>
      </w:r>
      <w:r>
        <w:rPr>
          <w:rFonts w:hint="eastAsia" w:ascii="宋体" w:hAnsi="宋体" w:eastAsia="宋体" w:cs="宋体"/>
          <w:color w:val="auto"/>
          <w:sz w:val="24"/>
        </w:rPr>
        <w:t>本公司在参加本次</w:t>
      </w:r>
      <w:r>
        <w:rPr>
          <w:rFonts w:hint="eastAsia" w:ascii="宋体" w:hAnsi="宋体" w:eastAsia="宋体" w:cs="宋体"/>
          <w:color w:val="auto"/>
          <w:sz w:val="24"/>
          <w:u w:val="none"/>
          <w:lang w:eastAsia="zh-CN"/>
        </w:rPr>
        <w:t>中山市小榄人民医院</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谈判</w:t>
      </w:r>
      <w:r>
        <w:rPr>
          <w:rFonts w:hint="eastAsia" w:ascii="宋体" w:hAnsi="宋体" w:eastAsia="宋体" w:cs="宋体"/>
          <w:color w:val="auto"/>
          <w:sz w:val="24"/>
          <w:u w:val="none"/>
          <w:lang w:eastAsia="zh-CN"/>
        </w:rPr>
        <w:t>项目</w:t>
      </w:r>
      <w:r>
        <w:rPr>
          <w:rFonts w:hint="eastAsia" w:ascii="宋体" w:hAnsi="宋体" w:eastAsia="宋体" w:cs="宋体"/>
          <w:color w:val="auto"/>
          <w:sz w:val="24"/>
        </w:rPr>
        <w:t>采购活动中，无以下围标、串标行为。</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由同一单位或者个人编制；</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不同供应商委托同一单位或者个人办理响应事宜；</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载明的项目管理成员或者联系人员为同一人；</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异常一致或者响应报价呈规律性差异；</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相互混装；</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不同供应商的董事、监事、高管、单位负责人为同一人或者存在控股、管理关系的不同单位参加同一包组项目；</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法律法规界定的其他围标串标行为。</w:t>
      </w:r>
    </w:p>
    <w:p>
      <w:pPr>
        <w:spacing w:line="360" w:lineRule="auto"/>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特此</w:t>
      </w:r>
      <w:r>
        <w:rPr>
          <w:rFonts w:hint="eastAsia" w:ascii="宋体" w:hAnsi="宋体" w:eastAsia="宋体" w:cs="宋体"/>
          <w:color w:val="auto"/>
          <w:sz w:val="24"/>
          <w:lang w:eastAsia="zh-CN"/>
        </w:rPr>
        <w:t>声明</w:t>
      </w:r>
      <w:r>
        <w:rPr>
          <w:rFonts w:hint="eastAsia" w:ascii="宋体" w:hAnsi="宋体" w:eastAsia="宋体" w:cs="宋体"/>
          <w:color w:val="auto"/>
          <w:sz w:val="24"/>
        </w:rPr>
        <w:t>。</w:t>
      </w:r>
    </w:p>
    <w:p>
      <w:pPr>
        <w:spacing w:before="156" w:beforeLines="50" w:after="156" w:afterLines="50" w:line="360" w:lineRule="auto"/>
        <w:ind w:firstLine="480" w:firstLineChars="200"/>
        <w:rPr>
          <w:rFonts w:hint="eastAsia" w:ascii="宋体" w:hAnsi="宋体" w:eastAsia="宋体" w:cs="宋体"/>
          <w:color w:val="auto"/>
          <w:sz w:val="24"/>
        </w:rPr>
      </w:pPr>
    </w:p>
    <w:p>
      <w:pPr>
        <w:spacing w:before="156" w:beforeLines="50" w:after="156" w:afterLines="50" w:line="360" w:lineRule="auto"/>
        <w:rPr>
          <w:rFonts w:hint="eastAsia" w:ascii="宋体" w:hAnsi="宋体" w:eastAsia="宋体" w:cs="宋体"/>
          <w:color w:val="auto"/>
          <w:sz w:val="24"/>
          <w:vertAlign w:val="baseline"/>
        </w:rPr>
      </w:pPr>
      <w:r>
        <w:rPr>
          <w:rFonts w:hint="eastAsia" w:ascii="宋体" w:hAnsi="宋体" w:eastAsia="宋体" w:cs="宋体"/>
          <w:color w:val="auto"/>
          <w:sz w:val="24"/>
        </w:rPr>
        <w:t xml:space="preserve">                    </w:t>
      </w:r>
    </w:p>
    <w:p>
      <w:pPr>
        <w:spacing w:before="156" w:beforeLines="50" w:after="156" w:afterLines="50" w:line="360" w:lineRule="auto"/>
        <w:rPr>
          <w:rFonts w:hint="eastAsia"/>
          <w:color w:val="auto"/>
        </w:rPr>
      </w:pPr>
      <w:r>
        <w:rPr>
          <w:rFonts w:hint="eastAsia" w:ascii="宋体" w:hAnsi="宋体" w:eastAsia="宋体" w:cs="宋体"/>
          <w:color w:val="auto"/>
          <w:sz w:val="24"/>
        </w:rPr>
        <w:t>供应商名称（加盖公章）：</w:t>
      </w:r>
    </w:p>
    <w:p>
      <w:pPr>
        <w:spacing w:before="156" w:beforeLines="50" w:after="156" w:afterLines="50" w:line="360" w:lineRule="auto"/>
        <w:rPr>
          <w:rFonts w:hint="eastAsia" w:ascii="宋体" w:hAnsi="宋体" w:eastAsia="宋体" w:cs="宋体"/>
          <w:color w:val="auto"/>
          <w:sz w:val="24"/>
        </w:rPr>
      </w:pPr>
      <w:r>
        <w:rPr>
          <w:rFonts w:hint="eastAsia" w:ascii="宋体" w:hAnsi="宋体" w:eastAsia="宋体" w:cs="宋体"/>
          <w:color w:val="auto"/>
          <w:sz w:val="24"/>
        </w:rPr>
        <w:t>法定代表人或其委托人签字：</w:t>
      </w:r>
    </w:p>
    <w:p>
      <w:pPr>
        <w:spacing w:before="156" w:beforeLines="50" w:after="156" w:afterLines="50" w:line="360" w:lineRule="auto"/>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年 </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2"/>
        <w:rPr>
          <w:rFonts w:hint="eastAsia" w:ascii="宋体" w:hAnsi="宋体" w:eastAsia="宋体" w:cs="宋体"/>
          <w:b w:val="0"/>
          <w:bCs/>
          <w:color w:val="auto"/>
          <w:sz w:val="24"/>
          <w:szCs w:val="24"/>
          <w:highlight w:val="none"/>
        </w:rPr>
      </w:pPr>
    </w:p>
    <w:p>
      <w:pPr>
        <w:pStyle w:val="2"/>
        <w:rPr>
          <w:rFonts w:hint="eastAsia" w:ascii="宋体" w:hAnsi="宋体" w:eastAsia="宋体" w:cs="宋体"/>
          <w:b w:val="0"/>
          <w:bCs/>
          <w:color w:val="auto"/>
          <w:sz w:val="24"/>
          <w:szCs w:val="24"/>
          <w:highlight w:val="none"/>
        </w:rPr>
      </w:pPr>
    </w:p>
    <w:p>
      <w:pPr>
        <w:pStyle w:val="2"/>
        <w:ind w:left="0" w:leftChars="0" w:firstLine="0" w:firstLineChars="0"/>
        <w:rPr>
          <w:rFonts w:hint="eastAsia" w:ascii="宋体" w:hAnsi="宋体" w:eastAsia="宋体" w:cs="宋体"/>
          <w:b w:val="0"/>
          <w:bCs/>
          <w:color w:val="auto"/>
          <w:sz w:val="24"/>
          <w:szCs w:val="24"/>
          <w:highlight w:val="none"/>
        </w:rPr>
      </w:pPr>
    </w:p>
    <w:p>
      <w:pPr>
        <w:rPr>
          <w:rFonts w:hint="eastAsia"/>
          <w:color w:val="auto"/>
        </w:rPr>
      </w:pPr>
    </w:p>
    <w:p>
      <w:pPr>
        <w:pStyle w:val="5"/>
        <w:rPr>
          <w:rFonts w:hint="eastAsia"/>
          <w:color w:val="auto"/>
        </w:rPr>
      </w:pPr>
    </w:p>
    <w:p>
      <w:pPr>
        <w:pStyle w:val="6"/>
        <w:rPr>
          <w:rFonts w:hint="eastAsia"/>
          <w:color w:val="auto"/>
        </w:rPr>
      </w:pPr>
    </w:p>
    <w:p>
      <w:pPr>
        <w:rPr>
          <w:rFonts w:hint="eastAsia"/>
          <w:color w:val="auto"/>
        </w:rPr>
      </w:pPr>
    </w:p>
    <w:p>
      <w:pPr>
        <w:pStyle w:val="5"/>
        <w:rPr>
          <w:rFonts w:hint="eastAsia"/>
          <w:color w:val="auto"/>
        </w:rPr>
      </w:pPr>
    </w:p>
    <w:p>
      <w:pPr>
        <w:pStyle w:val="6"/>
        <w:rPr>
          <w:rFonts w:hint="eastAsia"/>
          <w:color w:val="auto"/>
        </w:rPr>
      </w:pPr>
    </w:p>
    <w:p>
      <w:pPr>
        <w:rPr>
          <w:rFonts w:hint="eastAsia"/>
          <w:color w:val="auto"/>
        </w:rPr>
      </w:pP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资料包括： </w:t>
      </w:r>
    </w:p>
    <w:p>
      <w:pPr>
        <w:rPr>
          <w:rFonts w:hint="eastAsia" w:ascii="仿宋" w:hAnsi="仿宋" w:eastAsia="仿宋" w:cs="仿宋"/>
          <w:color w:val="auto"/>
          <w:sz w:val="28"/>
          <w:szCs w:val="28"/>
        </w:rPr>
      </w:pPr>
      <w:r>
        <w:rPr>
          <w:rFonts w:hint="eastAsia" w:ascii="仿宋" w:hAnsi="仿宋" w:eastAsia="仿宋" w:cs="仿宋"/>
          <w:color w:val="auto"/>
          <w:sz w:val="28"/>
          <w:szCs w:val="28"/>
        </w:rPr>
        <w:t>（1）报价单</w:t>
      </w:r>
    </w:p>
    <w:p>
      <w:pPr>
        <w:rPr>
          <w:rFonts w:hint="eastAsia" w:ascii="仿宋" w:hAnsi="仿宋" w:eastAsia="仿宋" w:cs="仿宋"/>
          <w:color w:val="auto"/>
          <w:sz w:val="28"/>
          <w:szCs w:val="28"/>
        </w:rPr>
      </w:pPr>
      <w:r>
        <w:rPr>
          <w:rFonts w:hint="eastAsia" w:ascii="仿宋" w:hAnsi="仿宋" w:eastAsia="仿宋" w:cs="仿宋"/>
          <w:color w:val="auto"/>
          <w:sz w:val="28"/>
          <w:szCs w:val="28"/>
        </w:rPr>
        <w:t>（2）偏离表</w:t>
      </w:r>
    </w:p>
    <w:p>
      <w:pPr>
        <w:rPr>
          <w:rFonts w:hint="eastAsia" w:ascii="仿宋" w:hAnsi="仿宋" w:eastAsia="仿宋" w:cs="仿宋"/>
          <w:color w:val="auto"/>
          <w:sz w:val="28"/>
          <w:szCs w:val="28"/>
        </w:rPr>
      </w:pPr>
      <w:r>
        <w:rPr>
          <w:rFonts w:hint="eastAsia" w:ascii="仿宋" w:hAnsi="仿宋" w:eastAsia="仿宋" w:cs="仿宋"/>
          <w:color w:val="auto"/>
          <w:sz w:val="28"/>
          <w:szCs w:val="28"/>
        </w:rPr>
        <w:t>（3）法定代表人证明书及其授权委托书</w:t>
      </w:r>
    </w:p>
    <w:p>
      <w:pPr>
        <w:rPr>
          <w:rFonts w:hint="eastAsia" w:ascii="仿宋" w:hAnsi="仿宋" w:eastAsia="仿宋" w:cs="仿宋"/>
          <w:color w:val="auto"/>
          <w:sz w:val="28"/>
          <w:szCs w:val="28"/>
        </w:rPr>
      </w:pPr>
      <w:r>
        <w:rPr>
          <w:rFonts w:hint="eastAsia" w:ascii="仿宋" w:hAnsi="仿宋" w:eastAsia="仿宋" w:cs="仿宋"/>
          <w:color w:val="auto"/>
          <w:sz w:val="28"/>
          <w:szCs w:val="28"/>
        </w:rPr>
        <w:t>（4）单位负责人为同一人或者存在直接控股、管理关系的不同报价人，不得参加同一合同项下的谈判活动，供应商在参与本次谈判活动中未有围标、串标行为。并出具《无围标、串标行为承诺书》（加盖公章）。</w:t>
      </w:r>
    </w:p>
    <w:p>
      <w:pPr>
        <w:rPr>
          <w:rFonts w:hint="eastAsia" w:ascii="仿宋" w:hAnsi="仿宋" w:eastAsia="仿宋" w:cs="仿宋"/>
          <w:color w:val="auto"/>
          <w:sz w:val="28"/>
          <w:szCs w:val="28"/>
        </w:rPr>
      </w:pPr>
      <w:r>
        <w:rPr>
          <w:rFonts w:hint="eastAsia" w:ascii="仿宋" w:hAnsi="仿宋" w:eastAsia="仿宋" w:cs="仿宋"/>
          <w:color w:val="auto"/>
          <w:sz w:val="28"/>
          <w:szCs w:val="28"/>
        </w:rPr>
        <w:t>（5）厂家资质证件（包括但不限于营业执照、医疗器械生产许可证等）</w:t>
      </w:r>
    </w:p>
    <w:p>
      <w:pPr>
        <w:rPr>
          <w:rFonts w:hint="eastAsia" w:ascii="仿宋" w:hAnsi="仿宋" w:eastAsia="仿宋" w:cs="仿宋"/>
          <w:color w:val="auto"/>
          <w:sz w:val="28"/>
          <w:szCs w:val="28"/>
        </w:rPr>
      </w:pPr>
      <w:r>
        <w:rPr>
          <w:rFonts w:hint="eastAsia" w:ascii="仿宋" w:hAnsi="仿宋" w:eastAsia="仿宋" w:cs="仿宋"/>
          <w:color w:val="auto"/>
          <w:sz w:val="28"/>
          <w:szCs w:val="28"/>
        </w:rPr>
        <w:t>（6）各级经销商资质证件（包括但不限于营业执照、医疗器械经营许可证、备案等）</w:t>
      </w:r>
    </w:p>
    <w:p>
      <w:pPr>
        <w:rPr>
          <w:rFonts w:hint="eastAsia" w:ascii="仿宋" w:hAnsi="仿宋" w:eastAsia="仿宋" w:cs="仿宋"/>
          <w:color w:val="auto"/>
          <w:sz w:val="28"/>
          <w:szCs w:val="28"/>
        </w:rPr>
      </w:pPr>
      <w:r>
        <w:rPr>
          <w:rFonts w:hint="eastAsia" w:ascii="仿宋" w:hAnsi="仿宋" w:eastAsia="仿宋" w:cs="仿宋"/>
          <w:color w:val="auto"/>
          <w:sz w:val="28"/>
          <w:szCs w:val="28"/>
        </w:rPr>
        <w:t>（7）产品医疗器械注册证</w:t>
      </w:r>
    </w:p>
    <w:p>
      <w:pPr>
        <w:rPr>
          <w:rFonts w:hint="eastAsia" w:ascii="仿宋" w:hAnsi="仿宋" w:eastAsia="仿宋" w:cs="仿宋"/>
          <w:color w:val="auto"/>
          <w:sz w:val="28"/>
          <w:szCs w:val="28"/>
        </w:rPr>
      </w:pPr>
      <w:r>
        <w:rPr>
          <w:rFonts w:hint="eastAsia" w:ascii="仿宋" w:hAnsi="仿宋" w:eastAsia="仿宋" w:cs="仿宋"/>
          <w:color w:val="auto"/>
          <w:sz w:val="28"/>
          <w:szCs w:val="28"/>
        </w:rPr>
        <w:t>（8）售后服务承诺函</w:t>
      </w:r>
      <w:r>
        <w:rPr>
          <w:rFonts w:hint="eastAsia" w:ascii="仿宋" w:hAnsi="仿宋" w:eastAsia="仿宋" w:cs="仿宋"/>
          <w:color w:val="auto"/>
          <w:sz w:val="28"/>
          <w:szCs w:val="28"/>
        </w:rPr>
        <w:tab/>
      </w:r>
    </w:p>
    <w:p>
      <w:pPr>
        <w:rPr>
          <w:rFonts w:hint="eastAsia" w:ascii="仿宋" w:hAnsi="仿宋" w:eastAsia="仿宋" w:cs="仿宋"/>
          <w:color w:val="auto"/>
          <w:sz w:val="28"/>
          <w:szCs w:val="28"/>
        </w:rPr>
      </w:pPr>
      <w:r>
        <w:rPr>
          <w:rFonts w:hint="eastAsia" w:ascii="仿宋" w:hAnsi="仿宋" w:eastAsia="仿宋" w:cs="仿宋"/>
          <w:color w:val="auto"/>
          <w:sz w:val="28"/>
          <w:szCs w:val="28"/>
        </w:rPr>
        <w:t>（9）产品配置清单</w:t>
      </w:r>
    </w:p>
    <w:p>
      <w:pPr>
        <w:rPr>
          <w:rFonts w:hint="eastAsia" w:ascii="仿宋" w:hAnsi="仿宋" w:eastAsia="仿宋" w:cs="仿宋"/>
          <w:color w:val="auto"/>
          <w:sz w:val="28"/>
          <w:szCs w:val="28"/>
        </w:rPr>
      </w:pPr>
      <w:r>
        <w:rPr>
          <w:rFonts w:hint="eastAsia" w:ascii="仿宋" w:hAnsi="仿宋" w:eastAsia="仿宋" w:cs="仿宋"/>
          <w:color w:val="auto"/>
          <w:sz w:val="28"/>
          <w:szCs w:val="28"/>
        </w:rPr>
        <w:t>（10）产品彩页</w:t>
      </w:r>
    </w:p>
    <w:p>
      <w:pPr>
        <w:rPr>
          <w:rFonts w:hint="eastAsia" w:ascii="仿宋" w:hAnsi="仿宋" w:eastAsia="仿宋" w:cs="仿宋"/>
          <w:color w:val="auto"/>
          <w:sz w:val="28"/>
          <w:szCs w:val="28"/>
        </w:rPr>
      </w:pPr>
      <w:r>
        <w:rPr>
          <w:rFonts w:hint="eastAsia" w:ascii="仿宋" w:hAnsi="仿宋" w:eastAsia="仿宋" w:cs="仿宋"/>
          <w:color w:val="auto"/>
          <w:sz w:val="28"/>
          <w:szCs w:val="28"/>
        </w:rPr>
        <w:t>（11）近三年广东地区三甲医院客户名单（销售合同）等。</w:t>
      </w:r>
    </w:p>
    <w:p>
      <w:pPr>
        <w:rPr>
          <w:rFonts w:hint="eastAsia" w:ascii="仿宋" w:hAnsi="仿宋" w:eastAsia="仿宋" w:cs="仿宋"/>
          <w:color w:val="auto"/>
          <w:sz w:val="28"/>
          <w:szCs w:val="28"/>
        </w:rPr>
      </w:pPr>
      <w:r>
        <w:rPr>
          <w:rFonts w:hint="eastAsia" w:ascii="仿宋" w:hAnsi="仿宋" w:eastAsia="仿宋" w:cs="仿宋"/>
          <w:color w:val="auto"/>
          <w:sz w:val="28"/>
          <w:szCs w:val="28"/>
        </w:rPr>
        <w:t>注：</w:t>
      </w:r>
    </w:p>
    <w:p>
      <w:pPr>
        <w:rPr>
          <w:rFonts w:hint="eastAsia" w:ascii="仿宋" w:hAnsi="仿宋" w:eastAsia="仿宋" w:cs="仿宋"/>
          <w:color w:val="auto"/>
          <w:sz w:val="28"/>
          <w:szCs w:val="28"/>
        </w:rPr>
      </w:pPr>
      <w:r>
        <w:rPr>
          <w:rFonts w:hint="eastAsia" w:ascii="仿宋" w:hAnsi="仿宋" w:eastAsia="仿宋" w:cs="仿宋"/>
          <w:color w:val="auto"/>
          <w:sz w:val="28"/>
          <w:szCs w:val="28"/>
        </w:rPr>
        <w:t>(1)以上文件均需盖公章。</w:t>
      </w:r>
    </w:p>
    <w:p>
      <w:pPr>
        <w:rPr>
          <w:rFonts w:hint="eastAsia" w:ascii="仿宋" w:hAnsi="仿宋" w:eastAsia="仿宋" w:cs="仿宋"/>
          <w:color w:val="auto"/>
          <w:sz w:val="28"/>
          <w:szCs w:val="28"/>
        </w:rPr>
      </w:pPr>
      <w:r>
        <w:rPr>
          <w:rFonts w:hint="eastAsia" w:ascii="仿宋" w:hAnsi="仿宋" w:eastAsia="仿宋" w:cs="仿宋"/>
          <w:color w:val="auto"/>
          <w:sz w:val="28"/>
          <w:szCs w:val="28"/>
        </w:rPr>
        <w:t>(2)供应商需与法人代表（或法定代表人授权委托人）一致。</w:t>
      </w:r>
    </w:p>
    <w:p>
      <w:pPr>
        <w:rPr>
          <w:rFonts w:hint="eastAsia" w:ascii="仿宋" w:hAnsi="仿宋" w:eastAsia="仿宋" w:cs="仿宋"/>
          <w:color w:val="auto"/>
          <w:sz w:val="28"/>
          <w:szCs w:val="28"/>
        </w:rPr>
      </w:pPr>
      <w:r>
        <w:rPr>
          <w:rFonts w:hint="eastAsia" w:ascii="仿宋" w:hAnsi="仿宋" w:eastAsia="仿宋" w:cs="仿宋"/>
          <w:color w:val="auto"/>
          <w:sz w:val="28"/>
          <w:szCs w:val="28"/>
        </w:rPr>
        <w:t>(3)预审通过后，采购人以电子邮件方式等方式通知供应商进入下一阶段流程。</w:t>
      </w:r>
    </w:p>
    <w:p>
      <w:pPr>
        <w:pStyle w:val="5"/>
        <w:rPr>
          <w:rFonts w:hint="eastAsia" w:ascii="仿宋" w:hAnsi="仿宋" w:eastAsia="仿宋" w:cs="仿宋"/>
          <w:color w:val="auto"/>
          <w:sz w:val="24"/>
          <w:szCs w:val="24"/>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7ADBE"/>
    <w:multiLevelType w:val="singleLevel"/>
    <w:tmpl w:val="B3C7ADBE"/>
    <w:lvl w:ilvl="0" w:tentative="0">
      <w:start w:val="1"/>
      <w:numFmt w:val="chineseCounting"/>
      <w:suff w:val="space"/>
      <w:lvlText w:val="第%1部分"/>
      <w:lvlJc w:val="left"/>
      <w:rPr>
        <w:rFonts w:hint="eastAsia"/>
      </w:rPr>
    </w:lvl>
  </w:abstractNum>
  <w:abstractNum w:abstractNumId="1">
    <w:nsid w:val="C561E20F"/>
    <w:multiLevelType w:val="multilevel"/>
    <w:tmpl w:val="C561E20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C918670A"/>
    <w:multiLevelType w:val="singleLevel"/>
    <w:tmpl w:val="C918670A"/>
    <w:lvl w:ilvl="0" w:tentative="0">
      <w:start w:val="1"/>
      <w:numFmt w:val="decimal"/>
      <w:lvlText w:val="1.%1"/>
      <w:lvlJc w:val="left"/>
      <w:pPr>
        <w:tabs>
          <w:tab w:val="left" w:pos="420"/>
        </w:tabs>
        <w:ind w:left="425" w:hanging="425"/>
      </w:pPr>
      <w:rPr>
        <w:rFonts w:hint="default" w:ascii="宋体" w:hAnsi="宋体" w:eastAsia="宋体" w:cs="宋体"/>
      </w:rPr>
    </w:lvl>
  </w:abstractNum>
  <w:abstractNum w:abstractNumId="3">
    <w:nsid w:val="FBCC3122"/>
    <w:multiLevelType w:val="singleLevel"/>
    <w:tmpl w:val="FBCC3122"/>
    <w:lvl w:ilvl="0" w:tentative="0">
      <w:start w:val="1"/>
      <w:numFmt w:val="decimal"/>
      <w:lvlText w:val="%1."/>
      <w:lvlJc w:val="left"/>
      <w:pPr>
        <w:ind w:left="425" w:hanging="425"/>
      </w:pPr>
      <w:rPr>
        <w:rFonts w:hint="default"/>
      </w:rPr>
    </w:lvl>
  </w:abstractNum>
  <w:abstractNum w:abstractNumId="4">
    <w:nsid w:val="0BD00364"/>
    <w:multiLevelType w:val="singleLevel"/>
    <w:tmpl w:val="0BD00364"/>
    <w:lvl w:ilvl="0" w:tentative="0">
      <w:start w:val="1"/>
      <w:numFmt w:val="decimal"/>
      <w:suff w:val="nothing"/>
      <w:lvlText w:val="%1"/>
      <w:lvlJc w:val="left"/>
      <w:pPr>
        <w:tabs>
          <w:tab w:val="left" w:pos="397"/>
        </w:tabs>
        <w:ind w:left="454" w:hanging="454"/>
      </w:pPr>
      <w:rPr>
        <w:rFonts w:hint="default" w:ascii="宋体" w:hAnsi="宋体" w:eastAsia="宋体" w:cs="宋体"/>
      </w:rPr>
    </w:lvl>
  </w:abstractNum>
  <w:abstractNum w:abstractNumId="5">
    <w:nsid w:val="1E7E8738"/>
    <w:multiLevelType w:val="singleLevel"/>
    <w:tmpl w:val="1E7E8738"/>
    <w:lvl w:ilvl="0" w:tentative="0">
      <w:start w:val="1"/>
      <w:numFmt w:val="chineseCounting"/>
      <w:suff w:val="nothing"/>
      <w:lvlText w:val="%1、"/>
      <w:lvlJc w:val="left"/>
      <w:rPr>
        <w:rFonts w:hint="eastAsia"/>
      </w:rPr>
    </w:lvl>
  </w:abstractNum>
  <w:abstractNum w:abstractNumId="6">
    <w:nsid w:val="3CC1C2D7"/>
    <w:multiLevelType w:val="singleLevel"/>
    <w:tmpl w:val="3CC1C2D7"/>
    <w:lvl w:ilvl="0" w:tentative="0">
      <w:start w:val="1"/>
      <w:numFmt w:val="chineseCounting"/>
      <w:suff w:val="nothing"/>
      <w:lvlText w:val="%1、"/>
      <w:lvlJc w:val="left"/>
      <w:rPr>
        <w:rFonts w:hint="eastAsia"/>
      </w:rPr>
    </w:lvl>
  </w:abstractNum>
  <w:abstractNum w:abstractNumId="7">
    <w:nsid w:val="6FEF5E58"/>
    <w:multiLevelType w:val="singleLevel"/>
    <w:tmpl w:val="6FEF5E58"/>
    <w:lvl w:ilvl="0" w:tentative="0">
      <w:start w:val="1"/>
      <w:numFmt w:val="decimal"/>
      <w:lvlText w:val="%1."/>
      <w:lvlJc w:val="left"/>
      <w:pPr>
        <w:ind w:left="425" w:hanging="425"/>
      </w:pPr>
      <w:rPr>
        <w:rFonts w:hint="default"/>
      </w:rPr>
    </w:lvl>
  </w:abstractNum>
  <w:abstractNum w:abstractNumId="8">
    <w:nsid w:val="7AC404C3"/>
    <w:multiLevelType w:val="multilevel"/>
    <w:tmpl w:val="7AC404C3"/>
    <w:lvl w:ilvl="0" w:tentative="0">
      <w:start w:val="1"/>
      <w:numFmt w:val="chineseCountingThousand"/>
      <w:lvlText w:val="(%1)"/>
      <w:lvlJc w:val="left"/>
      <w:pPr>
        <w:ind w:left="817" w:hanging="420"/>
      </w:pPr>
    </w:lvl>
    <w:lvl w:ilvl="1" w:tentative="0">
      <w:start w:val="1"/>
      <w:numFmt w:val="lowerLetter"/>
      <w:lvlText w:val="%2)"/>
      <w:lvlJc w:val="left"/>
      <w:pPr>
        <w:ind w:left="1237" w:hanging="420"/>
      </w:pPr>
    </w:lvl>
    <w:lvl w:ilvl="2" w:tentative="0">
      <w:start w:val="1"/>
      <w:numFmt w:val="lowerRoman"/>
      <w:lvlText w:val="%3."/>
      <w:lvlJc w:val="right"/>
      <w:pPr>
        <w:ind w:left="1657" w:hanging="420"/>
      </w:pPr>
    </w:lvl>
    <w:lvl w:ilvl="3" w:tentative="0">
      <w:start w:val="1"/>
      <w:numFmt w:val="decimal"/>
      <w:lvlText w:val="%4."/>
      <w:lvlJc w:val="left"/>
      <w:pPr>
        <w:ind w:left="2077" w:hanging="420"/>
      </w:pPr>
    </w:lvl>
    <w:lvl w:ilvl="4" w:tentative="0">
      <w:start w:val="1"/>
      <w:numFmt w:val="lowerLetter"/>
      <w:lvlText w:val="%5)"/>
      <w:lvlJc w:val="left"/>
      <w:pPr>
        <w:ind w:left="2497" w:hanging="420"/>
      </w:pPr>
    </w:lvl>
    <w:lvl w:ilvl="5" w:tentative="0">
      <w:start w:val="1"/>
      <w:numFmt w:val="lowerRoman"/>
      <w:lvlText w:val="%6."/>
      <w:lvlJc w:val="right"/>
      <w:pPr>
        <w:ind w:left="2917" w:hanging="420"/>
      </w:pPr>
    </w:lvl>
    <w:lvl w:ilvl="6" w:tentative="0">
      <w:start w:val="1"/>
      <w:numFmt w:val="decimal"/>
      <w:lvlText w:val="%7."/>
      <w:lvlJc w:val="left"/>
      <w:pPr>
        <w:ind w:left="3337" w:hanging="420"/>
      </w:pPr>
    </w:lvl>
    <w:lvl w:ilvl="7" w:tentative="0">
      <w:start w:val="1"/>
      <w:numFmt w:val="lowerLetter"/>
      <w:lvlText w:val="%8)"/>
      <w:lvlJc w:val="left"/>
      <w:pPr>
        <w:ind w:left="3757" w:hanging="420"/>
      </w:pPr>
    </w:lvl>
    <w:lvl w:ilvl="8" w:tentative="0">
      <w:start w:val="1"/>
      <w:numFmt w:val="lowerRoman"/>
      <w:lvlText w:val="%9."/>
      <w:lvlJc w:val="right"/>
      <w:pPr>
        <w:ind w:left="4177" w:hanging="420"/>
      </w:pPr>
    </w:lvl>
  </w:abstractNum>
  <w:num w:numId="1">
    <w:abstractNumId w:val="0"/>
  </w:num>
  <w:num w:numId="2">
    <w:abstractNumId w:val="5"/>
  </w:num>
  <w:num w:numId="3">
    <w:abstractNumId w:val="8"/>
  </w:num>
  <w:num w:numId="4">
    <w:abstractNumId w:val="1"/>
  </w:num>
  <w:num w:numId="5">
    <w:abstractNumId w:val="4"/>
  </w:num>
  <w:num w:numId="6">
    <w:abstractNumId w:val="2"/>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109F4"/>
    <w:rsid w:val="00B7623C"/>
    <w:rsid w:val="017A03BD"/>
    <w:rsid w:val="0C647663"/>
    <w:rsid w:val="0CAA4F82"/>
    <w:rsid w:val="0CBD4786"/>
    <w:rsid w:val="10EF00F3"/>
    <w:rsid w:val="12251A76"/>
    <w:rsid w:val="15672590"/>
    <w:rsid w:val="18E44580"/>
    <w:rsid w:val="18E706A9"/>
    <w:rsid w:val="196E1132"/>
    <w:rsid w:val="1B626DED"/>
    <w:rsid w:val="1B7109F4"/>
    <w:rsid w:val="202247E4"/>
    <w:rsid w:val="20DC30D9"/>
    <w:rsid w:val="2751016E"/>
    <w:rsid w:val="2D603144"/>
    <w:rsid w:val="2DD56DC9"/>
    <w:rsid w:val="2F1239BB"/>
    <w:rsid w:val="33697E65"/>
    <w:rsid w:val="347418D4"/>
    <w:rsid w:val="36C758BB"/>
    <w:rsid w:val="38C029F2"/>
    <w:rsid w:val="3B417724"/>
    <w:rsid w:val="3D6217FA"/>
    <w:rsid w:val="3E5A2D94"/>
    <w:rsid w:val="4AC41010"/>
    <w:rsid w:val="4C7D50DD"/>
    <w:rsid w:val="4DD87D99"/>
    <w:rsid w:val="504344F0"/>
    <w:rsid w:val="505712E6"/>
    <w:rsid w:val="575360F3"/>
    <w:rsid w:val="582C4A60"/>
    <w:rsid w:val="5EE04B69"/>
    <w:rsid w:val="61CE2A8D"/>
    <w:rsid w:val="66FB5425"/>
    <w:rsid w:val="6FFA2883"/>
    <w:rsid w:val="708B2081"/>
    <w:rsid w:val="714552F4"/>
    <w:rsid w:val="723810AB"/>
    <w:rsid w:val="73CA0F4C"/>
    <w:rsid w:val="77632F33"/>
    <w:rsid w:val="7BB64C58"/>
    <w:rsid w:val="7E23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ind w:firstLine="420" w:firstLineChars="200"/>
    </w:pPr>
    <w:rPr>
      <w:rFonts w:ascii="Calibri" w:hAnsi="Calibri"/>
      <w:szCs w:val="22"/>
    </w:rPr>
  </w:style>
  <w:style w:type="paragraph" w:styleId="5">
    <w:name w:val="Body Text"/>
    <w:basedOn w:val="1"/>
    <w:next w:val="6"/>
    <w:qFormat/>
    <w:uiPriority w:val="0"/>
    <w:pPr>
      <w:spacing w:line="360" w:lineRule="auto"/>
    </w:pPr>
    <w:rPr>
      <w:szCs w:val="20"/>
    </w:rPr>
  </w:style>
  <w:style w:type="paragraph" w:styleId="6">
    <w:name w:val="toc 5"/>
    <w:basedOn w:val="1"/>
    <w:next w:val="1"/>
    <w:qFormat/>
    <w:uiPriority w:val="0"/>
    <w:pPr>
      <w:ind w:left="840"/>
      <w:jc w:val="left"/>
    </w:pPr>
    <w:rPr>
      <w:rFonts w:ascii="Calibri" w:hAnsi="Calibri"/>
      <w:sz w:val="18"/>
      <w:szCs w:val="18"/>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Body Text Indent 3"/>
    <w:basedOn w:val="1"/>
    <w:qFormat/>
    <w:uiPriority w:val="0"/>
    <w:pPr>
      <w:spacing w:after="120"/>
      <w:ind w:left="420"/>
    </w:pPr>
    <w:rPr>
      <w:sz w:val="16"/>
      <w:szCs w:val="16"/>
    </w:rPr>
  </w:style>
  <w:style w:type="paragraph" w:styleId="13">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4">
    <w:name w:val="Body Text First Indent"/>
    <w:basedOn w:val="5"/>
    <w:next w:val="1"/>
    <w:qFormat/>
    <w:uiPriority w:val="0"/>
    <w:pPr>
      <w:spacing w:after="120" w:afterLines="0" w:line="240" w:lineRule="auto"/>
      <w:ind w:firstLine="420" w:firstLineChars="100"/>
    </w:pPr>
    <w:rPr>
      <w:szCs w:val="24"/>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0"/>
    <w:rPr>
      <w:rFonts w:ascii="Tahoma" w:hAnsi="Tahoma" w:eastAsia="宋体"/>
      <w:b/>
      <w:bCs/>
      <w:spacing w:val="10"/>
      <w:sz w:val="24"/>
      <w:lang w:val="en-US" w:eastAsia="zh-CN" w:bidi="ar-SA"/>
    </w:rPr>
  </w:style>
  <w:style w:type="character" w:styleId="19">
    <w:name w:val="Hyperlink"/>
    <w:basedOn w:val="17"/>
    <w:qFormat/>
    <w:uiPriority w:val="99"/>
    <w:rPr>
      <w:color w:val="0000FF"/>
      <w:u w:val="single"/>
    </w:rPr>
  </w:style>
  <w:style w:type="paragraph" w:customStyle="1" w:styleId="20">
    <w:name w:val="WPSOffice手动目录 1"/>
    <w:qFormat/>
    <w:uiPriority w:val="0"/>
    <w:pPr>
      <w:ind w:leftChars="0"/>
    </w:pPr>
    <w:rPr>
      <w:rFonts w:asciiTheme="minorHAnsi" w:hAnsiTheme="minorHAnsi" w:eastAsiaTheme="minorEastAsia" w:cstheme="minorBidi"/>
      <w:sz w:val="20"/>
      <w:szCs w:val="20"/>
    </w:rPr>
  </w:style>
  <w:style w:type="character" w:customStyle="1" w:styleId="21">
    <w:name w:val="NormalCharacter"/>
    <w:qFormat/>
    <w:uiPriority w:val="0"/>
  </w:style>
  <w:style w:type="paragraph" w:customStyle="1" w:styleId="22">
    <w:name w:val="列出段落1"/>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e60ae3-7a8d-4af9-b237-b2ec2688e4c8}"/>
        <w:style w:val=""/>
        <w:category>
          <w:name w:val="常规"/>
          <w:gallery w:val="placeholder"/>
        </w:category>
        <w:types>
          <w:type w:val="bbPlcHdr"/>
        </w:types>
        <w:behaviors>
          <w:behavior w:val="content"/>
        </w:behaviors>
        <w:description w:val=""/>
        <w:guid w:val="{23e60ae3-7a8d-4af9-b237-b2ec2688e4c8}"/>
      </w:docPartPr>
      <w:docPartBody>
        <w:p>
          <w:r>
            <w:rPr>
              <w:color w:val="808080"/>
            </w:rPr>
            <w:t>单击此处输入文字。</w:t>
          </w:r>
        </w:p>
      </w:docPartBody>
    </w:docPart>
    <w:docPart>
      <w:docPartPr>
        <w:name w:val="{fb6986d5-d4c7-4efd-b5f1-7fa913a231d0}"/>
        <w:style w:val=""/>
        <w:category>
          <w:name w:val="常规"/>
          <w:gallery w:val="placeholder"/>
        </w:category>
        <w:types>
          <w:type w:val="bbPlcHdr"/>
        </w:types>
        <w:behaviors>
          <w:behavior w:val="content"/>
        </w:behaviors>
        <w:description w:val=""/>
        <w:guid w:val="{fb6986d5-d4c7-4efd-b5f1-7fa913a231d0}"/>
      </w:docPartPr>
      <w:docPartBody>
        <w:p>
          <w:r>
            <w:rPr>
              <w:color w:val="808080"/>
            </w:rPr>
            <w:t>单击此处输入文字。</w:t>
          </w:r>
        </w:p>
      </w:docPartBody>
    </w:docPart>
    <w:docPart>
      <w:docPartPr>
        <w:name w:val="{90f722e0-8df3-41a8-a0cb-fc645b1ad85b}"/>
        <w:style w:val=""/>
        <w:category>
          <w:name w:val="常规"/>
          <w:gallery w:val="placeholder"/>
        </w:category>
        <w:types>
          <w:type w:val="bbPlcHdr"/>
        </w:types>
        <w:behaviors>
          <w:behavior w:val="content"/>
        </w:behaviors>
        <w:description w:val=""/>
        <w:guid w:val="{90f722e0-8df3-41a8-a0cb-fc645b1ad85b}"/>
      </w:docPartPr>
      <w:docPartBody>
        <w:p>
          <w:r>
            <w:rPr>
              <w:color w:val="808080"/>
            </w:rPr>
            <w:t>单击此处输入文字。</w:t>
          </w:r>
        </w:p>
      </w:docPartBody>
    </w:docPart>
    <w:docPart>
      <w:docPartPr>
        <w:name w:val="{374c8499-bb23-40ff-a681-38061e3be905}"/>
        <w:style w:val=""/>
        <w:category>
          <w:name w:val="常规"/>
          <w:gallery w:val="placeholder"/>
        </w:category>
        <w:types>
          <w:type w:val="bbPlcHdr"/>
        </w:types>
        <w:behaviors>
          <w:behavior w:val="content"/>
        </w:behaviors>
        <w:description w:val=""/>
        <w:guid w:val="{374c8499-bb23-40ff-a681-38061e3be90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2021-11-11T07:47:00Z</dcterms:created>
  <dc:creator>Administrator</dc:creator>
  <cp:lastModifiedBy>Administrator</cp:lastModifiedBy>
  <cp:lastPrinted>2021-11-22T10:50:00Z</cp:lastPrinted>
  <dcterms:modified xsi:type="dcterms:W3CDTF">2021-11-29T03:28:33Z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CFCEFDF45B7349B68C199B7E739FFA11</vt:lpwstr>
  </property>
</Properties>
</file>